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200" w:hRule="atLeas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D6A4F" w:color="auto" w:val="clear"/>
            <w:tcMar>
              <w:top w:type="dxa" w:w="140"/>
              <w:left w:type="dxa" w:w="260"/>
              <w:bottom w:type="dxa" w:w="14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8F3DC"/>
                <w:spacing w:val="30"/>
                <w:sz w:val="17"/>
                <w:szCs w:val="17"/>
              </w:rPr>
              <w:t xml:space="preserve">WORKBOOK</w:t>
            </w:r>
          </w:p>
          <w:p>
            <w:pPr>
              <w:pBdr>
                <w:bottom w:val="single" w:color="40916C" w:sz="4" w:space="6"/>
              </w:pBdr>
              <w:spacing w:after="700"/>
            </w:pPr>
            <w:r>
              <w:rPr>
                <w:rFonts w:ascii="Calibri" w:cs="Calibri" w:eastAsia="Calibri" w:hAnsi="Calibri"/>
                <w:color w:val="A7D3BC"/>
                <w:spacing w:val="24"/>
                <w:sz w:val="17"/>
                <w:szCs w:val="17"/>
              </w:rPr>
              <w:t xml:space="preserve">MODULE 1</w:t>
            </w:r>
          </w:p>
          <w:p>
            <w:pPr>
              <w:spacing w:after="2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72"/>
                <w:szCs w:val="72"/>
              </w:rPr>
              <w:t xml:space="preserve">Transition OS</w:t>
            </w:r>
          </w:p>
          <w:p>
            <w:pPr>
              <w:pBdr>
                <w:bottom w:val="single" w:color="D8F3DC" w:sz="18" w:space="2"/>
              </w:pBdr>
              <w:spacing w:after="260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>     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D8F3DC"/>
                <w:sz w:val="28"/>
                <w:szCs w:val="28"/>
              </w:rPr>
              <w:t xml:space="preserve">Work out whether you are actually leaving, and what you are protecting if you are.</w:t>
            </w:r>
          </w:p>
        </w:tc>
      </w:tr>
    </w:tbl>
    <w:p>
      <w:pPr>
        <w:spacing w:after="500"/>
      </w:pPr>
      <w:r>
        <w:rPr>
          <w:rFonts w:ascii="Calibri" w:cs="Calibri" w:eastAsia="Calibri" w:hAnsi="Calibri"/>
          <w:color w:val="1B1B1E"/>
          <w:sz w:val="22"/>
          <w:szCs w:val="22"/>
        </w:rPr>
        <w:t xml:space="preserve"> 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THE EIGHT STOPS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val="820" w:hRule="atLeast"/>
        </w:trPr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F0FAF3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D6A4F"/>
                <w:sz w:val="30"/>
                <w:szCs w:val="30"/>
              </w:rPr>
              <w:t xml:space="preserve">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6A4F"/>
                <w:sz w:val="15"/>
                <w:szCs w:val="15"/>
              </w:rPr>
              <w:t xml:space="preserve">Start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2D6A4F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F0FAF3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D6A4F"/>
                <w:sz w:val="30"/>
                <w:szCs w:val="30"/>
              </w:rPr>
              <w:t xml:space="preserve">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D6A4F"/>
                <w:sz w:val="15"/>
                <w:szCs w:val="15"/>
              </w:rPr>
              <w:t xml:space="preserve">Ground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2D6A4F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EFF6FF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E40AF"/>
                <w:sz w:val="30"/>
                <w:szCs w:val="30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E40AF"/>
                <w:sz w:val="15"/>
                <w:szCs w:val="15"/>
              </w:rPr>
              <w:t xml:space="preserve">Explore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1E40AF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ECFEFF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55E75"/>
                <w:sz w:val="30"/>
                <w:szCs w:val="30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55E75"/>
                <w:sz w:val="15"/>
                <w:szCs w:val="15"/>
              </w:rPr>
              <w:t xml:space="preserve">Connect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155E75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F5F3FF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5B21B6"/>
                <w:sz w:val="30"/>
                <w:szCs w:val="30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B21B6"/>
                <w:sz w:val="15"/>
                <w:szCs w:val="15"/>
              </w:rPr>
              <w:t xml:space="preserve">Translate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5B21B6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FEF6E7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30"/>
                <w:szCs w:val="30"/>
              </w:rPr>
              <w:t xml:space="preserve">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2400E"/>
                <w:sz w:val="15"/>
                <w:szCs w:val="15"/>
              </w:rPr>
              <w:t xml:space="preserve">Test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92400E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ECFDF5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5F46"/>
                <w:sz w:val="30"/>
                <w:szCs w:val="30"/>
              </w:rPr>
              <w:t xml:space="preserve">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65F46"/>
                <w:sz w:val="15"/>
                <w:szCs w:val="15"/>
              </w:rPr>
              <w:t xml:space="preserve">Leap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065F46"/>
                <w:sz w:val="22"/>
                <w:szCs w:val="22"/>
              </w:rPr>
              <w:t xml:space="preserve">☐</w:t>
            </w:r>
          </w:p>
        </w:tc>
        <w:tc>
          <w:tcPr>
            <w:tcW w:type="dxa" w:w="1170"/>
            <w:tcBorders>
              <w:top w:val="none"/>
              <w:left w:val="none"/>
              <w:bottom w:val="none"/>
              <w:right w:val="none"/>
            </w:tcBorders>
            <w:shd w:fill="FDF2F8" w:color="auto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D174D"/>
                <w:sz w:val="30"/>
                <w:szCs w:val="30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9D174D"/>
                <w:sz w:val="15"/>
                <w:szCs w:val="15"/>
              </w:rPr>
              <w:t xml:space="preserve">After</w:t>
            </w:r>
          </w:p>
          <w:p>
            <w:pPr>
              <w:spacing w:after="0" w:before="60"/>
              <w:jc w:val="center"/>
            </w:pPr>
            <w:r>
              <w:rPr>
                <w:rFonts w:ascii="Segoe UI Symbol" w:cs="Segoe UI Symbol" w:eastAsia="Segoe UI Symbol" w:hAnsi="Segoe UI Symbol"/>
                <w:color w:val="9D174D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700"/>
      </w:pPr>
      <w:r>
        <w:rPr>
          <w:rFonts w:ascii="Calibri" w:cs="Calibri" w:eastAsia="Calibri" w:hAnsi="Calibri"/>
          <w:color w:val="1B1B1E"/>
          <w:sz w:val="22"/>
          <w:szCs w:val="22"/>
        </w:rPr>
        <w:t xml:space="preserve"> 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B1B1E"/>
          <w:sz w:val="20"/>
          <w:szCs w:val="20"/>
        </w:rPr>
        <w:t xml:space="preserve">Name</w:t>
      </w:r>
    </w:p>
    <w:p>
      <w:pPr>
        <w:spacing w:after="120" w:before="0"/>
      </w:pPr>
      <w:r>
        <w:rPr>
          <w:rFonts w:ascii="Calibri" w:cs="Calibri" w:eastAsia="Calibri" w:hAnsi="Calibri"/>
          <w:color w:val="D1D5DB"/>
          <w:sz w:val="22"/>
          <w:szCs w:val="22"/>
        </w:rPr>
        <w:t xml:space="preserve">________________________________________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B1B1E"/>
          <w:sz w:val="20"/>
          <w:szCs w:val="20"/>
        </w:rPr>
        <w:t xml:space="preserve">Started on</w:t>
      </w:r>
    </w:p>
    <w:p>
      <w:pPr>
        <w:spacing w:after="120" w:before="0"/>
      </w:pPr>
      <w:r>
        <w:rPr>
          <w:rFonts w:ascii="Calibri" w:cs="Calibri" w:eastAsia="Calibri" w:hAnsi="Calibri"/>
          <w:color w:val="D1D5DB"/>
          <w:sz w:val="22"/>
          <w:szCs w:val="22"/>
        </w:rPr>
        <w:t xml:space="preserve">________________________________________</w:t>
      </w:r>
    </w:p>
    <w:p>
      <w:pPr>
        <w:spacing w:after="400"/>
      </w:pPr>
      <w:r>
        <w:rPr>
          <w:rFonts w:ascii="Calibri" w:cs="Calibri" w:eastAsia="Calibri" w:hAnsi="Calibri"/>
          <w:color w:val="1B1B1E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Print it, or type straight into it.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What’s in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460"/>
        <w:gridCol w:w="600"/>
      </w:tblGrid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Bad week, or time to go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Answer the same thing in week 1, 6 and 12 so one bad Tuesday does not decide it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Why leaving isn’t a wasted degree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Why the years and the debt already spent are not a reason to stay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Your why, in writing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What you actually want to leave, so you know what to look for in the next job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What you’ll miss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What you give up by leaving, and which parts you can keep anyway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3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4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2"/>
                <w:szCs w:val="22"/>
              </w:rPr>
              <w:t xml:space="preserve">Telling the first person</w:t>
            </w:r>
          </w:p>
        </w:tc>
        <w:tc>
          <w:tcPr>
            <w:tcW w:type="dxa" w:w="54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Say it out loud to one person, and plan exactly what you’ll say first</w:t>
            </w:r>
          </w:p>
        </w:tc>
        <w:tc>
          <w:tcPr>
            <w:tcW w:type="dxa" w:w="60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30"/>
              <w:left w:type="dxa" w:w="0"/>
              <w:bottom w:type="dxa" w:w="13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Segoe UI Symbol" w:cs="Segoe UI Symbol" w:eastAsia="Segoe UI Symbol" w:hAnsi="Segoe UI Symbol"/>
                <w:color w:val="40916C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The informational interview sheet, the interview page and the offer page come with the full program.</w:t>
      </w:r>
    </w:p>
    <w:p>
      <w:pPr>
        <w:spacing w:after="400"/>
      </w:pPr>
      <w:r>
        <w:rPr>
          <w:rFonts w:ascii="Calibri" w:cs="Calibri" w:eastAsia="Calibri" w:hAnsi="Calibri"/>
          <w:color w:val="1B1B1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6A4F" w:sz="24"/>
              <w:bottom w:val="none"/>
              <w:right w:val="none"/>
            </w:tcBorders>
            <w:shd w:fill="F0FA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Do the lesson on screen first. It does the maths, the sorting and the ranking, and it keeps your answers.</w:t>
            </w:r>
          </w:p>
        </w:tc>
      </w:tr>
    </w:tbl>
    <w:p>
      <w:pPr>
        <w:spacing w:after="12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6A4F" w:sz="24"/>
              <w:bottom w:val="none"/>
              <w:right w:val="none"/>
            </w:tcBorders>
            <w:shd w:fill="F0FAF3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Write badly. Fragments, half-sentences, a list. If you catch yourself drafting sentences, you have switched into work mode.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WEEKS 1, 6 AND 12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Bad week, or time to go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Answer these in week 1, then again in week 6 and week 12. One bad Tuesday should not be the thing that decides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3"/>
      </w:tblGrid>
      <w:t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19"/>
                <w:szCs w:val="19"/>
              </w:rPr>
              <w:t xml:space="preserve"/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19"/>
                <w:szCs w:val="19"/>
              </w:rPr>
              <w:t xml:space="preserve">Week 1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19"/>
                <w:szCs w:val="19"/>
              </w:rPr>
              <w:t xml:space="preserve">Week 6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19"/>
                <w:szCs w:val="19"/>
              </w:rPr>
              <w:t xml:space="preserve">Week 12</w:t>
            </w:r>
          </w:p>
        </w:tc>
      </w:tr>
      <w:tr>
        <w:trPr>
          <w:trHeight w:val="640" w:hRule="atLeast"/>
        </w:trP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0"/>
                <w:szCs w:val="20"/>
              </w:rPr>
              <w:t xml:space="preserve">Date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0"/>
                <w:szCs w:val="20"/>
              </w:rPr>
              <w:t xml:space="preserve">The stage you are in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0"/>
                <w:szCs w:val="20"/>
              </w:rPr>
              <w:t xml:space="preserve">Bad workplace, bad fit, or bad season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0"/>
                <w:szCs w:val="20"/>
              </w:rPr>
              <w:t xml:space="preserve">The path you would name today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2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0"/>
                <w:szCs w:val="20"/>
              </w:rPr>
              <w:t xml:space="preserve">Your pay floor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  <w:tc>
          <w:tcPr>
            <w:tcW w:type="dxa" w:w="2253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Where you are going, in one sentence. Write a new one each time rather than editing the old one.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Three sentences by week twelve. The first one is usually about leaving and the last one usually is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9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MODULE 1 · SUNK COST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Why leaving isn’t a wasted degree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The years and the debt are already spent either way. This is where you stop counting them as a reason to stay.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Write it exactly as it sounds in your head. Not the reasonable version.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It usually starts with “after all that” or “I should be able to”.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6A4F" w:sz="24"/>
              <w:bottom w:val="none"/>
              <w:right w:val="none"/>
            </w:tcBorders>
            <w:shd w:fill="F0FA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B1B1E"/>
                <w:sz w:val="22"/>
                <w:szCs w:val="22"/>
              </w:rPr>
              <w:t xml:space="preserve">“I know it's the sunken cost fallacy but it's so hard to quit after putting so much time, money, and effort into this career.”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an SLP, r/slp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Who taught you that sentence? A supervisor, a cohort, a parent, yourself at twenty-four.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would you say to a CF who said it to you, word for word?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People are consistently kinder to a hypothetical CF than to themselves. Use the kinder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6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MODULE 1 · THE CHECKPOINT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Your why, in writing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What you want to leave, in your own words, so you know what you are looking for in the next job.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Everything you want to leave. Names, days, specific meetings, the thing you have never said out loud. Do not soften it.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Nobody reads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1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Read it back, and mark the three that would still be true in a different building.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Those three are about the work. Everything else is about this job, and that is a different problem with a faster fix.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MODULE 1 · WHAT YOU KEEP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What you’ll miss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Name it now. The people who skip this are the ones who end up going back.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Finish the sentence: I will miss being the person who 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2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6A4F" w:sz="24"/>
              <w:bottom w:val="none"/>
              <w:right w:val="none"/>
            </w:tcBorders>
            <w:shd w:fill="F0FA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1B1B1E"/>
                <w:sz w:val="22"/>
                <w:szCs w:val="22"/>
              </w:rPr>
              <w:t xml:space="preserve">“I've taken a long time to grieve the loss of who I was in my previous role.”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  a comment on a former SLP's essay about leaving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Which part of that goes with you into any job? A moment, a person, a session. Be specific.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Which part only exists in a clinic, and what will you do about that outside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D6A4F"/>
          <w:spacing w:val="30"/>
          <w:sz w:val="17"/>
          <w:szCs w:val="17"/>
        </w:rPr>
        <w:t xml:space="preserve">MODULE 1 · LESSON 7</w:t>
      </w:r>
    </w:p>
    <w:p>
      <w:pPr>
        <w:pStyle w:val="Heading1"/>
        <w:spacing w:after="60" w:before="0"/>
      </w:pPr>
      <w:r>
        <w:rPr>
          <w:rFonts w:ascii="Georgia" w:cs="Georgia" w:eastAsia="Georgia" w:hAnsi="Georgia"/>
          <w:b/>
          <w:bCs/>
          <w:color w:val="1B1B1E"/>
          <w:sz w:val="40"/>
          <w:szCs w:val="40"/>
        </w:rPr>
        <w:t xml:space="preserve">Telling the first person</w:t>
      </w:r>
    </w:p>
    <w:p>
      <w:pPr>
        <w:spacing w:after="320" w:before="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Say it out loud to one person. Plan who, when, and what you will say.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Who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Not a colleague, if you can avoid it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When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A date, not “soon”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  <w:tr>
        <w:trPr>
          <w:trHeight w:val="640" w:hRule="atLeast"/>
        </w:trPr>
        <w:tc>
          <w:tcPr>
            <w:tcW w:type="dxa" w:w="3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0FAF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B1B1E"/>
                <w:sz w:val="21"/>
                <w:szCs w:val="21"/>
              </w:rPr>
              <w:t xml:space="preserve">What you plan to say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One sentence</w:t>
            </w:r>
          </w:p>
        </w:tc>
        <w:tc>
          <w:tcPr>
            <w:tcW w:type="dxa" w:w="57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you actually said, and what they said back.</w:t>
      </w:r>
    </w:p>
    <w:p>
      <w:pPr>
        <w:spacing w:after="10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Fill this in afterwards. People are almost always less surprised than you expect them to 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9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1B1E"/>
          <w:sz w:val="22"/>
          <w:szCs w:val="22"/>
        </w:rPr>
        <w:t xml:space="preserve">What changed for you in the hour after.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60" w:hRule="atLeast"/>
        </w:trPr>
        <w:tc>
          <w:tcPr>
            <w:tcW w:type="dxa" w:w="93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1B1B1E"/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 w:before="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slptransitions.com</w:t>
    </w:r>
    <w:r>
      <w:rPr>
        <w:rFonts w:ascii="Calibri" w:cs="Calibri" w:eastAsia="Calibri" w:hAnsi="Calibri"/>
        <w:color w:val="6B7280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Calibri" w:cs="Calibri" w:eastAsia="Calibri" w:hAnsi="Calibri"/>
        <w:b/>
        <w:bCs/>
        <w:color w:val="2D6A4F"/>
        <w:spacing w:val="30"/>
        <w:sz w:val="16"/>
        <w:szCs w:val="16"/>
      </w:rPr>
      <w:t xml:space="preserve">TRANSITION OS</w:t>
    </w:r>
    <w:r>
      <w:rPr>
        <w:rFonts w:ascii="Calibri" w:cs="Calibri" w:eastAsia="Calibri" w:hAnsi="Calibri"/>
        <w:color w:val="6B7280"/>
        <w:sz w:val="16"/>
        <w:szCs w:val="16"/>
      </w:rPr>
      <w:t xml:space="preserve">	Companion 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2D6A4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2026-09-13T01:02:11.691Z</dcterms:created>
  <dcterms:modified xsi:type="dcterms:W3CDTF">2026-09-13T01:02:11.692Z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