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7F08" w:rsidRDefault="00C37F08" w:rsidP="00C37F08">
      <w:pPr>
        <w:pStyle w:val="Heading1"/>
        <w:spacing w:after="288" w:line="480" w:lineRule="auto"/>
        <w:ind w:left="0" w:right="4"/>
        <w:jc w:val="center"/>
        <w:rPr>
          <w:rFonts w:ascii="Times New Roman" w:hAnsi="Times New Roman" w:cs="Times New Roman"/>
          <w:b/>
          <w:bCs/>
          <w:lang w:val="en-GB"/>
        </w:rPr>
      </w:pPr>
      <w:bookmarkStart w:id="0" w:name="_Toc102487540"/>
      <w:r>
        <w:rPr>
          <w:rFonts w:ascii="Times New Roman" w:hAnsi="Times New Roman" w:cs="Times New Roman"/>
          <w:b/>
          <w:bCs/>
          <w:lang w:val="en-GB"/>
        </w:rPr>
        <w:t>Appendix A: Ethics Statement</w:t>
      </w:r>
      <w:bookmarkEnd w:id="0"/>
    </w:p>
    <w:p w:rsidR="00C37F08" w:rsidRPr="00057245" w:rsidRDefault="00C37F08" w:rsidP="00C37F08">
      <w:pPr>
        <w:spacing w:after="288" w:line="480" w:lineRule="auto"/>
        <w:ind w:left="0" w:firstLine="720"/>
        <w:rPr>
          <w:rFonts w:ascii="Times New Roman" w:hAnsi="Times New Roman" w:cs="Times New Roman"/>
        </w:rPr>
      </w:pPr>
      <w:r>
        <w:rPr>
          <w:rFonts w:ascii="Times New Roman" w:hAnsi="Times New Roman" w:cs="Times New Roman"/>
          <w:lang w:val="en-GB"/>
        </w:rPr>
        <w:t>The individual-level participant data was collected through a collaboration between the TIME Magazine and the supervisors of this dissertation, Dr Friedrich M Götz and Dr P Jason Rentfrow, and was approved by the University of Cambridge Psychology Research Ethics Committee (PRE.2017.044). A waiver for parental consent was included in the ethics approval which allowed the collection of responses from participants under the age of 18. Participants provided consent when opting in to complete the internet-based survey, which gave participants full information on the confidentiality arrangement of their survey response data. The dataset where national aggregates of survey responses were calculated contained fully anonymised individual entries that are not able to trace back to individual respondents. The author of this dissertation signed the confidentiality agreement with TIME Magazine prior to receiving data, which stated that any dissemination and unauthorised use of the individual-level data is prohibited. The nature of the internet-based survey meant that no psychological or physical stress were incurred for the participants. Since this study did not collect additional individual-level data, further ethics approval was not required.</w:t>
      </w:r>
    </w:p>
    <w:p w:rsidR="00C37F08" w:rsidRDefault="00C37F08" w:rsidP="00C37F08">
      <w:pPr>
        <w:spacing w:after="288" w:line="480" w:lineRule="auto"/>
        <w:ind w:left="0" w:firstLine="0"/>
        <w:rPr>
          <w:rFonts w:ascii="Times New Roman" w:hAnsi="Times New Roman" w:cs="Times New Roman"/>
          <w:lang w:val="en-GB"/>
        </w:rPr>
      </w:pPr>
    </w:p>
    <w:p w:rsidR="00C37F08" w:rsidRDefault="00C37F08" w:rsidP="00C37F08">
      <w:pPr>
        <w:spacing w:after="288" w:line="480" w:lineRule="auto"/>
        <w:ind w:left="0" w:firstLine="720"/>
        <w:rPr>
          <w:rFonts w:ascii="Times New Roman" w:hAnsi="Times New Roman" w:cs="Times New Roman"/>
          <w:lang w:val="en-GB"/>
        </w:rPr>
      </w:pPr>
    </w:p>
    <w:p w:rsidR="00C37F08" w:rsidRDefault="00C37F08" w:rsidP="00C37F08">
      <w:pPr>
        <w:spacing w:after="288" w:line="480" w:lineRule="auto"/>
        <w:ind w:left="0" w:firstLine="0"/>
        <w:rPr>
          <w:rFonts w:ascii="Times New Roman" w:hAnsi="Times New Roman" w:cs="Times New Roman"/>
          <w:lang w:val="en-GB"/>
        </w:rPr>
      </w:pPr>
    </w:p>
    <w:p w:rsidR="00C37F08" w:rsidRDefault="00C37F08" w:rsidP="00C37F08">
      <w:pPr>
        <w:pStyle w:val="Heading1"/>
        <w:spacing w:after="288" w:line="480" w:lineRule="auto"/>
        <w:ind w:left="0" w:right="4"/>
        <w:jc w:val="center"/>
        <w:rPr>
          <w:rFonts w:ascii="Times New Roman" w:hAnsi="Times New Roman" w:cs="Times New Roman"/>
          <w:lang w:val="en-GB"/>
        </w:rPr>
      </w:pPr>
      <w:bookmarkStart w:id="1" w:name="_Toc102487541"/>
      <w:r>
        <w:rPr>
          <w:rFonts w:ascii="Times New Roman" w:hAnsi="Times New Roman" w:cs="Times New Roman"/>
          <w:b/>
          <w:bCs/>
          <w:lang w:val="en-GB"/>
        </w:rPr>
        <w:lastRenderedPageBreak/>
        <w:t>Appendix B: Supplementary Materials</w:t>
      </w:r>
      <w:bookmarkEnd w:id="1"/>
    </w:p>
    <w:p w:rsidR="00C37F08" w:rsidRPr="00946C2A" w:rsidRDefault="00C37F08" w:rsidP="00C37F08">
      <w:pPr>
        <w:spacing w:after="288" w:line="480" w:lineRule="auto"/>
        <w:ind w:left="0" w:firstLine="720"/>
        <w:rPr>
          <w:rFonts w:ascii="Times New Roman" w:hAnsi="Times New Roman" w:cs="Times New Roman"/>
          <w:lang w:val="en-GB"/>
        </w:rPr>
      </w:pPr>
      <w:r>
        <w:rPr>
          <w:rFonts w:ascii="Times New Roman" w:hAnsi="Times New Roman" w:cs="Times New Roman"/>
          <w:lang w:val="en-GB"/>
        </w:rPr>
        <w:t xml:space="preserve">Pre-registration (January 2022) and analysis R scripts are available on Open Science Foundation through </w:t>
      </w:r>
      <w:hyperlink r:id="rId5" w:history="1">
        <w:r w:rsidRPr="00AC31B8">
          <w:rPr>
            <w:rStyle w:val="Hyperlink"/>
            <w:rFonts w:ascii="Times New Roman" w:hAnsi="Times New Roman" w:cs="Times New Roman"/>
            <w:lang w:val="en-GB"/>
          </w:rPr>
          <w:t>this view-only link</w:t>
        </w:r>
      </w:hyperlink>
      <w:r>
        <w:rPr>
          <w:rFonts w:ascii="Times New Roman" w:hAnsi="Times New Roman" w:cs="Times New Roman"/>
          <w:lang w:val="en-GB"/>
        </w:rPr>
        <w:t>. Note: Analysis scripts 1.X are the preliminary data processing scripts irrelevant to the main analyses.</w:t>
      </w:r>
    </w:p>
    <w:p w:rsidR="00C37F08" w:rsidRDefault="00C37F08" w:rsidP="00C37F08">
      <w:pPr>
        <w:spacing w:after="288" w:line="480" w:lineRule="auto"/>
        <w:ind w:left="0" w:firstLine="720"/>
        <w:rPr>
          <w:rFonts w:ascii="Times New Roman" w:hAnsi="Times New Roman" w:cs="Times New Roman"/>
          <w:lang w:val="en-GB"/>
        </w:rPr>
      </w:pPr>
      <w:r>
        <w:rPr>
          <w:rFonts w:ascii="Times New Roman" w:hAnsi="Times New Roman" w:cs="Times New Roman"/>
          <w:lang w:val="en-GB"/>
        </w:rPr>
        <w:br w:type="page"/>
      </w:r>
    </w:p>
    <w:p w:rsidR="00C37F08" w:rsidRDefault="00C37F08" w:rsidP="00C37F08">
      <w:pPr>
        <w:pStyle w:val="Heading1"/>
        <w:spacing w:after="288" w:line="480" w:lineRule="auto"/>
        <w:ind w:left="0" w:right="4"/>
        <w:jc w:val="center"/>
        <w:rPr>
          <w:rFonts w:ascii="Times New Roman" w:hAnsi="Times New Roman" w:cs="Times New Roman"/>
          <w:b/>
          <w:bCs/>
          <w:lang w:val="en-GB"/>
        </w:rPr>
      </w:pPr>
      <w:bookmarkStart w:id="2" w:name="_Toc102487542"/>
      <w:r>
        <w:rPr>
          <w:rFonts w:ascii="Times New Roman" w:hAnsi="Times New Roman" w:cs="Times New Roman"/>
          <w:b/>
          <w:bCs/>
          <w:lang w:val="en-GB"/>
        </w:rPr>
        <w:lastRenderedPageBreak/>
        <w:t>Appendix C: Supplementary Method</w:t>
      </w:r>
      <w:bookmarkEnd w:id="2"/>
    </w:p>
    <w:p w:rsidR="00C37F08" w:rsidRPr="009E176B" w:rsidRDefault="00C37F08" w:rsidP="00C37F08">
      <w:pPr>
        <w:spacing w:after="288" w:line="480" w:lineRule="auto"/>
        <w:ind w:left="0" w:firstLine="0"/>
        <w:rPr>
          <w:rFonts w:ascii="Times New Roman" w:hAnsi="Times New Roman" w:cs="Times New Roman"/>
          <w:b/>
          <w:bCs/>
          <w:lang w:val="en-GB"/>
        </w:rPr>
      </w:pPr>
      <w:r w:rsidRPr="00323421">
        <w:rPr>
          <w:rFonts w:ascii="Times New Roman" w:hAnsi="Times New Roman" w:cs="Times New Roman"/>
          <w:b/>
          <w:bCs/>
          <w:lang w:val="en-GB"/>
        </w:rPr>
        <w:t xml:space="preserve">Table </w:t>
      </w:r>
      <w:r>
        <w:rPr>
          <w:rFonts w:ascii="Times New Roman" w:hAnsi="Times New Roman" w:cs="Times New Roman"/>
          <w:b/>
          <w:bCs/>
          <w:lang w:val="en-GB"/>
        </w:rPr>
        <w:t>C</w:t>
      </w:r>
      <w:r w:rsidRPr="00323421">
        <w:rPr>
          <w:rFonts w:ascii="Times New Roman" w:hAnsi="Times New Roman" w:cs="Times New Roman"/>
          <w:b/>
          <w:bCs/>
          <w:lang w:val="en-GB"/>
        </w:rPr>
        <w:t>1</w:t>
      </w:r>
    </w:p>
    <w:p w:rsidR="00C37F08" w:rsidRPr="009E176B" w:rsidRDefault="00C37F08" w:rsidP="00C37F08">
      <w:pPr>
        <w:spacing w:after="288" w:line="480" w:lineRule="auto"/>
        <w:ind w:left="0" w:firstLine="0"/>
        <w:rPr>
          <w:rFonts w:ascii="Times New Roman" w:hAnsi="Times New Roman" w:cs="Times New Roman"/>
          <w:i/>
          <w:iCs/>
          <w:lang w:val="en-GB"/>
        </w:rPr>
      </w:pPr>
      <w:r>
        <w:rPr>
          <w:rFonts w:ascii="Times New Roman" w:hAnsi="Times New Roman" w:cs="Times New Roman"/>
          <w:i/>
          <w:iCs/>
          <w:lang w:val="en-GB"/>
        </w:rPr>
        <w:t>Dependent and Control Measures: Record Code, Description, and Sample Size</w:t>
      </w:r>
    </w:p>
    <w:tbl>
      <w:tblPr>
        <w:tblStyle w:val="TableGrid"/>
        <w:tblW w:w="9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9"/>
        <w:gridCol w:w="4110"/>
        <w:gridCol w:w="1134"/>
        <w:gridCol w:w="1134"/>
        <w:gridCol w:w="376"/>
      </w:tblGrid>
      <w:tr w:rsidR="00C37F08" w:rsidRPr="00323421" w:rsidTr="00DC3234">
        <w:trPr>
          <w:trHeight w:val="283"/>
        </w:trPr>
        <w:tc>
          <w:tcPr>
            <w:tcW w:w="2689" w:type="dxa"/>
            <w:tcBorders>
              <w:top w:val="single" w:sz="4" w:space="0" w:color="auto"/>
              <w:bottom w:val="single" w:sz="4" w:space="0" w:color="auto"/>
            </w:tcBorders>
            <w:noWrap/>
            <w:vAlign w:val="center"/>
            <w:hideMark/>
          </w:tcPr>
          <w:p w:rsidR="00C37F08" w:rsidRPr="00323421" w:rsidRDefault="00C37F08" w:rsidP="00DC3234">
            <w:pPr>
              <w:spacing w:after="288" w:line="240" w:lineRule="auto"/>
              <w:ind w:left="0" w:firstLine="0"/>
              <w:rPr>
                <w:rFonts w:ascii="Times New Roman" w:hAnsi="Times New Roman" w:cs="Times New Roman"/>
                <w:b/>
                <w:bCs/>
                <w:sz w:val="16"/>
                <w:szCs w:val="16"/>
              </w:rPr>
            </w:pPr>
            <w:r w:rsidRPr="00323421">
              <w:rPr>
                <w:rFonts w:ascii="Times New Roman" w:hAnsi="Times New Roman" w:cs="Times New Roman"/>
                <w:b/>
                <w:bCs/>
                <w:sz w:val="16"/>
                <w:szCs w:val="16"/>
              </w:rPr>
              <w:t>Record Code</w:t>
            </w:r>
          </w:p>
        </w:tc>
        <w:tc>
          <w:tcPr>
            <w:tcW w:w="4110" w:type="dxa"/>
            <w:tcBorders>
              <w:top w:val="single" w:sz="4" w:space="0" w:color="auto"/>
              <w:bottom w:val="single" w:sz="4" w:space="0" w:color="auto"/>
            </w:tcBorders>
            <w:noWrap/>
            <w:vAlign w:val="center"/>
            <w:hideMark/>
          </w:tcPr>
          <w:p w:rsidR="00C37F08" w:rsidRPr="00323421" w:rsidRDefault="00C37F08" w:rsidP="00DC3234">
            <w:pPr>
              <w:spacing w:after="288" w:line="240" w:lineRule="auto"/>
              <w:ind w:left="0" w:firstLine="0"/>
              <w:rPr>
                <w:rFonts w:ascii="Times New Roman" w:hAnsi="Times New Roman" w:cs="Times New Roman"/>
                <w:b/>
                <w:bCs/>
                <w:sz w:val="16"/>
                <w:szCs w:val="16"/>
              </w:rPr>
            </w:pPr>
            <w:r w:rsidRPr="00323421">
              <w:rPr>
                <w:rFonts w:ascii="Times New Roman" w:hAnsi="Times New Roman" w:cs="Times New Roman"/>
                <w:b/>
                <w:bCs/>
                <w:sz w:val="16"/>
                <w:szCs w:val="16"/>
              </w:rPr>
              <w:t>Description</w:t>
            </w:r>
          </w:p>
        </w:tc>
        <w:tc>
          <w:tcPr>
            <w:tcW w:w="1134" w:type="dxa"/>
            <w:tcBorders>
              <w:top w:val="single" w:sz="4" w:space="0" w:color="auto"/>
              <w:bottom w:val="single" w:sz="4" w:space="0" w:color="auto"/>
            </w:tcBorders>
            <w:noWrap/>
            <w:vAlign w:val="center"/>
            <w:hideMark/>
          </w:tcPr>
          <w:p w:rsidR="00C37F08" w:rsidRPr="00323421" w:rsidRDefault="00C37F08" w:rsidP="00DC3234">
            <w:pPr>
              <w:spacing w:after="288" w:line="240" w:lineRule="auto"/>
              <w:ind w:left="0" w:firstLine="0"/>
              <w:rPr>
                <w:rFonts w:ascii="Times New Roman" w:hAnsi="Times New Roman" w:cs="Times New Roman"/>
                <w:b/>
                <w:bCs/>
                <w:sz w:val="16"/>
                <w:szCs w:val="16"/>
              </w:rPr>
            </w:pPr>
            <w:r w:rsidRPr="00323421">
              <w:rPr>
                <w:rFonts w:ascii="Times New Roman" w:hAnsi="Times New Roman" w:cs="Times New Roman"/>
                <w:b/>
                <w:bCs/>
                <w:sz w:val="16"/>
                <w:szCs w:val="16"/>
              </w:rPr>
              <w:t>Source</w:t>
            </w:r>
          </w:p>
        </w:tc>
        <w:tc>
          <w:tcPr>
            <w:tcW w:w="1134" w:type="dxa"/>
            <w:tcBorders>
              <w:top w:val="single" w:sz="4" w:space="0" w:color="auto"/>
              <w:bottom w:val="single" w:sz="4" w:space="0" w:color="auto"/>
            </w:tcBorders>
            <w:noWrap/>
            <w:vAlign w:val="center"/>
            <w:hideMark/>
          </w:tcPr>
          <w:p w:rsidR="00C37F08" w:rsidRPr="00323421" w:rsidRDefault="00C37F08" w:rsidP="00DC3234">
            <w:pPr>
              <w:spacing w:after="288" w:line="240" w:lineRule="auto"/>
              <w:ind w:left="0" w:firstLine="0"/>
              <w:rPr>
                <w:rFonts w:ascii="Times New Roman" w:hAnsi="Times New Roman" w:cs="Times New Roman"/>
                <w:b/>
                <w:bCs/>
                <w:sz w:val="16"/>
                <w:szCs w:val="16"/>
              </w:rPr>
            </w:pPr>
            <w:r w:rsidRPr="00323421">
              <w:rPr>
                <w:rFonts w:ascii="Times New Roman" w:hAnsi="Times New Roman" w:cs="Times New Roman"/>
                <w:b/>
                <w:bCs/>
                <w:sz w:val="16"/>
                <w:szCs w:val="16"/>
              </w:rPr>
              <w:t>Construct</w:t>
            </w:r>
          </w:p>
        </w:tc>
        <w:tc>
          <w:tcPr>
            <w:tcW w:w="376" w:type="dxa"/>
            <w:tcBorders>
              <w:top w:val="single" w:sz="4" w:space="0" w:color="auto"/>
              <w:bottom w:val="single" w:sz="4" w:space="0" w:color="auto"/>
            </w:tcBorders>
            <w:noWrap/>
            <w:vAlign w:val="center"/>
            <w:hideMark/>
          </w:tcPr>
          <w:p w:rsidR="00C37F08" w:rsidRPr="00323421" w:rsidRDefault="00C37F08" w:rsidP="00DC3234">
            <w:pPr>
              <w:spacing w:after="288" w:line="240" w:lineRule="auto"/>
              <w:ind w:left="0" w:firstLine="0"/>
              <w:rPr>
                <w:rFonts w:ascii="Times New Roman" w:hAnsi="Times New Roman" w:cs="Times New Roman"/>
                <w:b/>
                <w:bCs/>
                <w:i/>
                <w:iCs/>
                <w:sz w:val="16"/>
                <w:szCs w:val="16"/>
              </w:rPr>
            </w:pPr>
            <w:r w:rsidRPr="00323421">
              <w:rPr>
                <w:rFonts w:ascii="Times New Roman" w:hAnsi="Times New Roman" w:cs="Times New Roman"/>
                <w:b/>
                <w:bCs/>
                <w:i/>
                <w:iCs/>
                <w:sz w:val="16"/>
                <w:szCs w:val="16"/>
              </w:rPr>
              <w:t>N</w:t>
            </w:r>
          </w:p>
        </w:tc>
      </w:tr>
      <w:tr w:rsidR="00C37F08" w:rsidRPr="00323421" w:rsidTr="00DC3234">
        <w:trPr>
          <w:trHeight w:val="283"/>
        </w:trPr>
        <w:tc>
          <w:tcPr>
            <w:tcW w:w="2689" w:type="dxa"/>
            <w:tcBorders>
              <w:top w:val="single" w:sz="4" w:space="0" w:color="auto"/>
            </w:tcBorders>
            <w:noWrap/>
            <w:vAlign w:val="center"/>
          </w:tcPr>
          <w:p w:rsidR="00C37F08" w:rsidRPr="00323421" w:rsidRDefault="00C37F08" w:rsidP="00DC3234">
            <w:pPr>
              <w:spacing w:after="288" w:line="240" w:lineRule="auto"/>
              <w:ind w:left="0" w:firstLine="0"/>
              <w:rPr>
                <w:rFonts w:ascii="Times New Roman" w:hAnsi="Times New Roman" w:cs="Times New Roman"/>
                <w:b/>
                <w:bCs/>
                <w:sz w:val="16"/>
                <w:szCs w:val="16"/>
              </w:rPr>
            </w:pPr>
          </w:p>
        </w:tc>
        <w:tc>
          <w:tcPr>
            <w:tcW w:w="4110" w:type="dxa"/>
            <w:tcBorders>
              <w:top w:val="single" w:sz="4" w:space="0" w:color="auto"/>
            </w:tcBorders>
            <w:noWrap/>
            <w:vAlign w:val="center"/>
          </w:tcPr>
          <w:p w:rsidR="00C37F08" w:rsidRPr="00323421" w:rsidRDefault="00C37F08" w:rsidP="00DC3234">
            <w:pPr>
              <w:spacing w:after="288" w:line="240" w:lineRule="auto"/>
              <w:ind w:left="0" w:firstLine="0"/>
              <w:rPr>
                <w:rFonts w:ascii="Times New Roman" w:hAnsi="Times New Roman" w:cs="Times New Roman"/>
                <w:b/>
                <w:bCs/>
                <w:sz w:val="16"/>
                <w:szCs w:val="16"/>
              </w:rPr>
            </w:pPr>
          </w:p>
        </w:tc>
        <w:tc>
          <w:tcPr>
            <w:tcW w:w="1134" w:type="dxa"/>
            <w:tcBorders>
              <w:top w:val="single" w:sz="4" w:space="0" w:color="auto"/>
            </w:tcBorders>
            <w:noWrap/>
            <w:vAlign w:val="center"/>
          </w:tcPr>
          <w:p w:rsidR="00C37F08" w:rsidRPr="00323421" w:rsidRDefault="00C37F08" w:rsidP="00DC3234">
            <w:pPr>
              <w:spacing w:after="288" w:line="240" w:lineRule="auto"/>
              <w:ind w:left="0" w:firstLine="0"/>
              <w:rPr>
                <w:rFonts w:ascii="Times New Roman" w:hAnsi="Times New Roman" w:cs="Times New Roman"/>
                <w:b/>
                <w:bCs/>
                <w:sz w:val="16"/>
                <w:szCs w:val="16"/>
              </w:rPr>
            </w:pPr>
          </w:p>
        </w:tc>
        <w:tc>
          <w:tcPr>
            <w:tcW w:w="1134" w:type="dxa"/>
            <w:tcBorders>
              <w:top w:val="single" w:sz="4" w:space="0" w:color="auto"/>
            </w:tcBorders>
            <w:noWrap/>
            <w:vAlign w:val="center"/>
          </w:tcPr>
          <w:p w:rsidR="00C37F08" w:rsidRPr="00323421" w:rsidRDefault="00C37F08" w:rsidP="00DC3234">
            <w:pPr>
              <w:spacing w:after="288" w:line="240" w:lineRule="auto"/>
              <w:ind w:left="0" w:firstLine="0"/>
              <w:rPr>
                <w:rFonts w:ascii="Times New Roman" w:hAnsi="Times New Roman" w:cs="Times New Roman"/>
                <w:b/>
                <w:bCs/>
                <w:sz w:val="16"/>
                <w:szCs w:val="16"/>
              </w:rPr>
            </w:pPr>
          </w:p>
        </w:tc>
        <w:tc>
          <w:tcPr>
            <w:tcW w:w="376" w:type="dxa"/>
            <w:tcBorders>
              <w:top w:val="single" w:sz="4" w:space="0" w:color="auto"/>
            </w:tcBorders>
            <w:noWrap/>
            <w:vAlign w:val="center"/>
          </w:tcPr>
          <w:p w:rsidR="00C37F08" w:rsidRPr="00323421" w:rsidRDefault="00C37F08" w:rsidP="00DC3234">
            <w:pPr>
              <w:spacing w:after="288" w:line="240" w:lineRule="auto"/>
              <w:ind w:left="0" w:firstLine="0"/>
              <w:rPr>
                <w:rFonts w:ascii="Times New Roman" w:hAnsi="Times New Roman" w:cs="Times New Roman"/>
                <w:b/>
                <w:bCs/>
                <w:i/>
                <w:iCs/>
                <w:sz w:val="16"/>
                <w:szCs w:val="16"/>
              </w:rPr>
            </w:pP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proofErr w:type="spellStart"/>
            <w:r w:rsidRPr="00323421">
              <w:rPr>
                <w:rFonts w:ascii="Times New Roman" w:hAnsi="Times New Roman" w:cs="Times New Roman"/>
                <w:sz w:val="16"/>
                <w:szCs w:val="16"/>
              </w:rPr>
              <w:t>IDV.Hofstede</w:t>
            </w:r>
            <w:proofErr w:type="spellEnd"/>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Individualism measure from Hofstede et al., 2010</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Hofstede et al</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Individualism</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68</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IDV.IPUMS</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Individualism measure from IPUMS-I dataset following Santo et al., 2014</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IPUMS-I</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Individualism</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50</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INO.GII.17_21</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Innovation measure from the Global Innovation Index - 5 year average between 2017 and 2021</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GII</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Innovation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76</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INO.III2009</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Innovation measure from the International Innovation Index in 2009, provided by the Boston Consulting Group</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BCG</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Innovation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67</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proofErr w:type="spellStart"/>
            <w:r w:rsidRPr="00323421">
              <w:rPr>
                <w:rFonts w:ascii="Times New Roman" w:hAnsi="Times New Roman" w:cs="Times New Roman"/>
                <w:sz w:val="16"/>
                <w:szCs w:val="16"/>
              </w:rPr>
              <w:t>MAS.Hofstede</w:t>
            </w:r>
            <w:proofErr w:type="spellEnd"/>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Masculinity measure from Hofstede et al., 2010</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Hofstede et al</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Masculinity</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68</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TER.GTI.18_20</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Terrorism measure from the global terrorist index - 3 year average between 2018 and 2020</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GTI</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Terrorism</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75</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proofErr w:type="spellStart"/>
            <w:r w:rsidRPr="00323421">
              <w:rPr>
                <w:rFonts w:ascii="Times New Roman" w:hAnsi="Times New Roman" w:cs="Times New Roman"/>
                <w:sz w:val="16"/>
                <w:szCs w:val="16"/>
              </w:rPr>
              <w:t>X.EDU.IPUMS.Literacy</w:t>
            </w:r>
            <w:proofErr w:type="spellEnd"/>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Education, from IPUMS-I database, literacy rate in most recent data (different number of years)</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IPUMS-I</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Education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48</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proofErr w:type="spellStart"/>
            <w:r w:rsidRPr="00323421">
              <w:rPr>
                <w:rFonts w:ascii="Times New Roman" w:hAnsi="Times New Roman" w:cs="Times New Roman"/>
                <w:sz w:val="16"/>
                <w:szCs w:val="16"/>
              </w:rPr>
              <w:t>X.EDU.IPUMS.Ter.Attain.Rate</w:t>
            </w:r>
            <w:proofErr w:type="spellEnd"/>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Education, from IPUMS-I database, tertiary attain rate in most recent data (different number of years)</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IPUMS-I</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Education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48</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X.EDU.OECD.Ter.Attain.Rate.17</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Education, from OECD, tertiary attain rate in 2017</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OECD</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Education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42</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X.EDU.UN.Pri.Comp.Rate.18</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Education, from UN, primary completion rate in 2018</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UN</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Education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58</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X.EDU.UN.Pri.Enrl.Rate.18</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Education, from UN, primary enrolment rate in 2018</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UN</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Education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60</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X.EDU.UN.Sec.Enrl.Rate.18</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Education, from UN, secondary enrolment rate in 2018</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UN</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Education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52</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X.EDU.UN.Ter.Enrl.Rate.18</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Education, from UN, tertiary enrolment rate in 2018</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UN</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Education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53</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X.EDU.WB.Pri.Enrl.Rate.15</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Education, from the world bank, primary enrolment rate in 2015</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WB</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Education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69</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lastRenderedPageBreak/>
              <w:t>X.EDU.WB.Sec.Enrl.Rate.15</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Education, from the world bank, secondary enrolment rate in 2015</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WB</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Education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63</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X.EDU.WB.USc.Enrl.Rate.15</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Education, from the world bank, upper secondary enrolment rate in 2015</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WB</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Education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62</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X.GDP.percap.UN.16_20</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GDP per capita, from UN, average of the 5 years between 2016 and 2020</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UN</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Economics</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78</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X.GDP.percap.UN.PPP.16_20</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GDP per capita, from UN, calculated by price purchasing parity, average of the 5 years between 2016 and 2021</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UN</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Economics</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78</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X.GDP.percap.WB.17_19</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GDP per capita, from the world bank, average of the 3 years between 2017 and 2019</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WB</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Economics</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79</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X.URB.IPUMS</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urbanisation from IPUMS-I database</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IPUMS-I</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Urbanisation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48</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X.URB.UN.Metro.Pop.17_20</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urbanisation, from UN, as large-city (&gt;1mil) population percentage, average of 2017-2020</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UN</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Urbanisation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65</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X.URB.UN.Urban.Pop.17_20</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urbanisation, from UN, as urban population percentage, average of 2017-2020</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UN</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Urbanisation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79</w:t>
            </w:r>
          </w:p>
        </w:tc>
      </w:tr>
      <w:tr w:rsidR="00C37F08" w:rsidRPr="00323421" w:rsidTr="00DC3234">
        <w:trPr>
          <w:trHeight w:val="283"/>
        </w:trPr>
        <w:tc>
          <w:tcPr>
            <w:tcW w:w="2689"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X.URB.WB.Urban.Pop.18</w:t>
            </w:r>
          </w:p>
        </w:tc>
        <w:tc>
          <w:tcPr>
            <w:tcW w:w="4110"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Control measure of urbanisation, from the world bank, as urban population percentage, in 2018</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WB</w:t>
            </w:r>
          </w:p>
        </w:tc>
        <w:tc>
          <w:tcPr>
            <w:tcW w:w="1134"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Urbanisation</w:t>
            </w:r>
          </w:p>
        </w:tc>
        <w:tc>
          <w:tcPr>
            <w:tcW w:w="376" w:type="dxa"/>
            <w:noWrap/>
            <w:vAlign w:val="center"/>
            <w:hideMark/>
          </w:tcPr>
          <w:p w:rsidR="00C37F08" w:rsidRPr="00323421" w:rsidRDefault="00C37F08" w:rsidP="00DC3234">
            <w:pPr>
              <w:spacing w:after="288" w:line="240" w:lineRule="auto"/>
              <w:ind w:left="0" w:firstLine="0"/>
              <w:rPr>
                <w:rFonts w:ascii="Times New Roman" w:hAnsi="Times New Roman" w:cs="Times New Roman"/>
                <w:sz w:val="16"/>
                <w:szCs w:val="16"/>
              </w:rPr>
            </w:pPr>
            <w:r w:rsidRPr="00323421">
              <w:rPr>
                <w:rFonts w:ascii="Times New Roman" w:hAnsi="Times New Roman" w:cs="Times New Roman"/>
                <w:sz w:val="16"/>
                <w:szCs w:val="16"/>
              </w:rPr>
              <w:t>79</w:t>
            </w:r>
          </w:p>
        </w:tc>
      </w:tr>
      <w:tr w:rsidR="00C37F08" w:rsidRPr="00323421" w:rsidTr="00DC3234">
        <w:trPr>
          <w:trHeight w:val="283"/>
        </w:trPr>
        <w:tc>
          <w:tcPr>
            <w:tcW w:w="2689" w:type="dxa"/>
            <w:tcBorders>
              <w:bottom w:val="single" w:sz="4" w:space="0" w:color="auto"/>
            </w:tcBorders>
            <w:noWrap/>
            <w:vAlign w:val="center"/>
          </w:tcPr>
          <w:p w:rsidR="00C37F08" w:rsidRPr="00323421" w:rsidRDefault="00C37F08" w:rsidP="00DC3234">
            <w:pPr>
              <w:spacing w:after="288" w:line="240" w:lineRule="auto"/>
              <w:ind w:left="0" w:firstLine="0"/>
              <w:rPr>
                <w:rFonts w:ascii="Times New Roman" w:hAnsi="Times New Roman" w:cs="Times New Roman"/>
                <w:sz w:val="16"/>
                <w:szCs w:val="16"/>
              </w:rPr>
            </w:pPr>
          </w:p>
        </w:tc>
        <w:tc>
          <w:tcPr>
            <w:tcW w:w="4110" w:type="dxa"/>
            <w:tcBorders>
              <w:bottom w:val="single" w:sz="4" w:space="0" w:color="auto"/>
            </w:tcBorders>
            <w:noWrap/>
            <w:vAlign w:val="center"/>
          </w:tcPr>
          <w:p w:rsidR="00C37F08" w:rsidRPr="00323421" w:rsidRDefault="00C37F08" w:rsidP="00DC3234">
            <w:pPr>
              <w:spacing w:after="288" w:line="240" w:lineRule="auto"/>
              <w:ind w:left="0" w:firstLine="0"/>
              <w:rPr>
                <w:rFonts w:ascii="Times New Roman" w:hAnsi="Times New Roman" w:cs="Times New Roman"/>
                <w:sz w:val="16"/>
                <w:szCs w:val="16"/>
              </w:rPr>
            </w:pPr>
          </w:p>
        </w:tc>
        <w:tc>
          <w:tcPr>
            <w:tcW w:w="1134" w:type="dxa"/>
            <w:tcBorders>
              <w:bottom w:val="single" w:sz="4" w:space="0" w:color="auto"/>
            </w:tcBorders>
            <w:noWrap/>
            <w:vAlign w:val="center"/>
          </w:tcPr>
          <w:p w:rsidR="00C37F08" w:rsidRPr="00323421" w:rsidRDefault="00C37F08" w:rsidP="00DC3234">
            <w:pPr>
              <w:spacing w:after="288" w:line="240" w:lineRule="auto"/>
              <w:ind w:left="0" w:firstLine="0"/>
              <w:rPr>
                <w:rFonts w:ascii="Times New Roman" w:hAnsi="Times New Roman" w:cs="Times New Roman"/>
                <w:sz w:val="16"/>
                <w:szCs w:val="16"/>
              </w:rPr>
            </w:pPr>
          </w:p>
        </w:tc>
        <w:tc>
          <w:tcPr>
            <w:tcW w:w="1134" w:type="dxa"/>
            <w:tcBorders>
              <w:bottom w:val="single" w:sz="4" w:space="0" w:color="auto"/>
            </w:tcBorders>
            <w:noWrap/>
            <w:vAlign w:val="center"/>
          </w:tcPr>
          <w:p w:rsidR="00C37F08" w:rsidRPr="00323421" w:rsidRDefault="00C37F08" w:rsidP="00DC3234">
            <w:pPr>
              <w:spacing w:after="288" w:line="240" w:lineRule="auto"/>
              <w:ind w:left="0" w:firstLine="0"/>
              <w:rPr>
                <w:rFonts w:ascii="Times New Roman" w:hAnsi="Times New Roman" w:cs="Times New Roman"/>
                <w:sz w:val="16"/>
                <w:szCs w:val="16"/>
              </w:rPr>
            </w:pPr>
          </w:p>
        </w:tc>
        <w:tc>
          <w:tcPr>
            <w:tcW w:w="376" w:type="dxa"/>
            <w:tcBorders>
              <w:bottom w:val="single" w:sz="4" w:space="0" w:color="auto"/>
            </w:tcBorders>
            <w:noWrap/>
            <w:vAlign w:val="center"/>
          </w:tcPr>
          <w:p w:rsidR="00C37F08" w:rsidRPr="00323421" w:rsidRDefault="00C37F08" w:rsidP="00DC3234">
            <w:pPr>
              <w:spacing w:after="288" w:line="240" w:lineRule="auto"/>
              <w:ind w:left="0" w:firstLine="0"/>
              <w:rPr>
                <w:rFonts w:ascii="Times New Roman" w:hAnsi="Times New Roman" w:cs="Times New Roman"/>
                <w:sz w:val="16"/>
                <w:szCs w:val="16"/>
              </w:rPr>
            </w:pPr>
          </w:p>
        </w:tc>
      </w:tr>
    </w:tbl>
    <w:p w:rsidR="00C37F08" w:rsidRPr="00985848" w:rsidRDefault="00C37F08" w:rsidP="00C37F08">
      <w:pPr>
        <w:spacing w:after="288" w:line="276" w:lineRule="auto"/>
        <w:ind w:left="0" w:firstLine="0"/>
        <w:rPr>
          <w:rFonts w:ascii="Times New Roman" w:hAnsi="Times New Roman" w:cs="Times New Roman"/>
          <w:sz w:val="22"/>
          <w:szCs w:val="22"/>
          <w:lang w:val="en-GB"/>
        </w:rPr>
      </w:pPr>
      <w:r w:rsidRPr="00922AC6">
        <w:rPr>
          <w:rFonts w:ascii="Times New Roman" w:hAnsi="Times New Roman" w:cs="Times New Roman"/>
          <w:i/>
          <w:iCs/>
          <w:sz w:val="22"/>
          <w:szCs w:val="22"/>
          <w:lang w:val="en-GB"/>
        </w:rPr>
        <w:t xml:space="preserve">Note. </w:t>
      </w:r>
      <w:r w:rsidRPr="00922AC6">
        <w:rPr>
          <w:rFonts w:ascii="Times New Roman" w:hAnsi="Times New Roman" w:cs="Times New Roman"/>
          <w:sz w:val="22"/>
          <w:szCs w:val="22"/>
          <w:lang w:val="en-GB"/>
        </w:rPr>
        <w:t xml:space="preserve">The record code of all alternative measure option used in the main SCA procedure, as denoted in the SCA visualisation panels (periods removed). </w:t>
      </w:r>
      <w:r w:rsidRPr="00922AC6">
        <w:rPr>
          <w:rFonts w:ascii="Times New Roman" w:hAnsi="Times New Roman" w:cs="Times New Roman"/>
          <w:i/>
          <w:iCs/>
          <w:sz w:val="22"/>
          <w:szCs w:val="22"/>
          <w:lang w:val="en-GB"/>
        </w:rPr>
        <w:t>WB</w:t>
      </w:r>
      <w:r w:rsidRPr="00922AC6">
        <w:rPr>
          <w:rFonts w:ascii="Times New Roman" w:hAnsi="Times New Roman" w:cs="Times New Roman"/>
          <w:sz w:val="22"/>
          <w:szCs w:val="22"/>
          <w:lang w:val="en-GB"/>
        </w:rPr>
        <w:t xml:space="preserve"> denotes The World Bank (2019), </w:t>
      </w:r>
      <w:r w:rsidRPr="00922AC6">
        <w:rPr>
          <w:rFonts w:ascii="Times New Roman" w:hAnsi="Times New Roman" w:cs="Times New Roman"/>
          <w:i/>
          <w:iCs/>
          <w:sz w:val="22"/>
          <w:szCs w:val="22"/>
          <w:lang w:val="en-GB"/>
        </w:rPr>
        <w:t>UN</w:t>
      </w:r>
      <w:r w:rsidRPr="00922AC6">
        <w:rPr>
          <w:rFonts w:ascii="Times New Roman" w:hAnsi="Times New Roman" w:cs="Times New Roman"/>
          <w:sz w:val="22"/>
          <w:szCs w:val="22"/>
          <w:lang w:val="en-GB"/>
        </w:rPr>
        <w:t xml:space="preserve"> denotes the United Nations Statistics Division (2020), </w:t>
      </w:r>
      <w:r w:rsidRPr="00922AC6">
        <w:rPr>
          <w:rFonts w:ascii="Times New Roman" w:hAnsi="Times New Roman" w:cs="Times New Roman"/>
          <w:i/>
          <w:iCs/>
          <w:sz w:val="22"/>
          <w:szCs w:val="22"/>
          <w:lang w:val="en-GB"/>
        </w:rPr>
        <w:t xml:space="preserve">IPUMS-I </w:t>
      </w:r>
      <w:r w:rsidRPr="00922AC6">
        <w:rPr>
          <w:rFonts w:ascii="Times New Roman" w:hAnsi="Times New Roman" w:cs="Times New Roman"/>
          <w:sz w:val="22"/>
          <w:szCs w:val="22"/>
          <w:lang w:val="en-GB"/>
        </w:rPr>
        <w:t xml:space="preserve">denotes the International Public-Use Micro-Series – International dataset (Minnesota Population </w:t>
      </w:r>
      <w:proofErr w:type="spellStart"/>
      <w:r w:rsidRPr="00922AC6">
        <w:rPr>
          <w:rFonts w:ascii="Times New Roman" w:hAnsi="Times New Roman" w:cs="Times New Roman"/>
          <w:sz w:val="22"/>
          <w:szCs w:val="22"/>
          <w:lang w:val="en-GB"/>
        </w:rPr>
        <w:t>Center</w:t>
      </w:r>
      <w:proofErr w:type="spellEnd"/>
      <w:r w:rsidRPr="00922AC6">
        <w:rPr>
          <w:rFonts w:ascii="Times New Roman" w:hAnsi="Times New Roman" w:cs="Times New Roman"/>
          <w:sz w:val="22"/>
          <w:szCs w:val="22"/>
          <w:lang w:val="en-GB"/>
        </w:rPr>
        <w:t>, 20</w:t>
      </w:r>
      <w:r>
        <w:rPr>
          <w:rFonts w:ascii="Times New Roman" w:hAnsi="Times New Roman" w:cs="Times New Roman"/>
          <w:sz w:val="22"/>
          <w:szCs w:val="22"/>
          <w:lang w:val="en-GB"/>
        </w:rPr>
        <w:t>19</w:t>
      </w:r>
      <w:r w:rsidRPr="00922AC6">
        <w:rPr>
          <w:rFonts w:ascii="Times New Roman" w:hAnsi="Times New Roman" w:cs="Times New Roman"/>
          <w:sz w:val="22"/>
          <w:szCs w:val="22"/>
          <w:lang w:val="en-GB"/>
        </w:rPr>
        <w:t xml:space="preserve">), </w:t>
      </w:r>
      <w:r w:rsidRPr="00922AC6">
        <w:rPr>
          <w:rFonts w:ascii="Times New Roman" w:hAnsi="Times New Roman" w:cs="Times New Roman"/>
          <w:i/>
          <w:iCs/>
          <w:sz w:val="22"/>
          <w:szCs w:val="22"/>
          <w:lang w:val="en-GB"/>
        </w:rPr>
        <w:t>OECD</w:t>
      </w:r>
      <w:r w:rsidRPr="00922AC6">
        <w:rPr>
          <w:rFonts w:ascii="Times New Roman" w:hAnsi="Times New Roman" w:cs="Times New Roman"/>
          <w:sz w:val="22"/>
          <w:szCs w:val="22"/>
          <w:lang w:val="en-GB"/>
        </w:rPr>
        <w:t xml:space="preserve"> denotes the Organisation for Economic Cooperation and Development (2017), </w:t>
      </w:r>
      <w:r w:rsidRPr="00922AC6">
        <w:rPr>
          <w:rFonts w:ascii="Times New Roman" w:hAnsi="Times New Roman" w:cs="Times New Roman"/>
          <w:i/>
          <w:iCs/>
          <w:sz w:val="22"/>
          <w:szCs w:val="22"/>
          <w:lang w:val="en-GB"/>
        </w:rPr>
        <w:t>N</w:t>
      </w:r>
      <w:r w:rsidRPr="00922AC6">
        <w:rPr>
          <w:rFonts w:ascii="Times New Roman" w:hAnsi="Times New Roman" w:cs="Times New Roman"/>
          <w:sz w:val="22"/>
          <w:szCs w:val="22"/>
          <w:lang w:val="en-GB"/>
        </w:rPr>
        <w:t xml:space="preserve"> denotes the number of countries where the data is available, out of the 80 countries included in the main analyses. </w:t>
      </w:r>
    </w:p>
    <w:p w:rsidR="00C37F08" w:rsidRDefault="00C37F08" w:rsidP="00C37F08">
      <w:pPr>
        <w:spacing w:after="288" w:line="480" w:lineRule="auto"/>
        <w:ind w:left="0" w:firstLine="0"/>
        <w:rPr>
          <w:rFonts w:ascii="Times New Roman" w:hAnsi="Times New Roman" w:cs="Times New Roman"/>
          <w:b/>
          <w:bCs/>
          <w:lang w:val="en-GB"/>
        </w:rPr>
      </w:pPr>
      <w:r>
        <w:rPr>
          <w:rFonts w:ascii="Times New Roman" w:hAnsi="Times New Roman" w:cs="Times New Roman"/>
          <w:b/>
          <w:bCs/>
          <w:lang w:val="en-GB"/>
        </w:rPr>
        <w:t>Supplementary SCA Bootstrapping Methods</w:t>
      </w:r>
    </w:p>
    <w:p w:rsidR="00C37F08" w:rsidRDefault="00C37F08" w:rsidP="00C37F08">
      <w:pPr>
        <w:spacing w:after="288" w:line="480" w:lineRule="auto"/>
        <w:ind w:left="0" w:firstLine="720"/>
        <w:rPr>
          <w:rFonts w:ascii="Times New Roman" w:hAnsi="Times New Roman" w:cs="Times New Roman"/>
          <w:lang w:val="en-GB"/>
        </w:rPr>
      </w:pPr>
      <w:r>
        <w:rPr>
          <w:rFonts w:ascii="Times New Roman" w:hAnsi="Times New Roman" w:cs="Times New Roman"/>
          <w:lang w:val="en-GB"/>
        </w:rPr>
        <w:t xml:space="preserve">The SCA Bootstrapping Significance Test performed in the main analyses follows the procedure of Simonsohn et al. (2020). Analysis scripts can be accessed in </w:t>
      </w:r>
      <w:r>
        <w:rPr>
          <w:rFonts w:ascii="Times New Roman" w:hAnsi="Times New Roman" w:cs="Times New Roman"/>
          <w:i/>
          <w:iCs/>
          <w:lang w:val="en-GB"/>
        </w:rPr>
        <w:t>Appendix B: Supplementary Materials.</w:t>
      </w:r>
      <w:r>
        <w:rPr>
          <w:rFonts w:ascii="Times New Roman" w:hAnsi="Times New Roman" w:cs="Times New Roman"/>
          <w:lang w:val="en-GB"/>
        </w:rPr>
        <w:t xml:space="preserve"> The overall procedure of the bootstrapping test is as follows:</w:t>
      </w:r>
    </w:p>
    <w:p w:rsidR="00C37F08" w:rsidRPr="00922AC6" w:rsidRDefault="00C37F08" w:rsidP="00C37F08">
      <w:pPr>
        <w:numPr>
          <w:ilvl w:val="0"/>
          <w:numId w:val="1"/>
        </w:numPr>
        <w:spacing w:after="288" w:line="480" w:lineRule="auto"/>
        <w:rPr>
          <w:rFonts w:ascii="Times New Roman" w:hAnsi="Times New Roman" w:cs="Times New Roman"/>
        </w:rPr>
      </w:pPr>
      <w:r w:rsidRPr="00922AC6">
        <w:rPr>
          <w:rFonts w:ascii="Times New Roman" w:hAnsi="Times New Roman" w:cs="Times New Roman"/>
        </w:rPr>
        <w:t xml:space="preserve">Create a </w:t>
      </w:r>
      <w:r>
        <w:rPr>
          <w:rFonts w:ascii="Times New Roman" w:hAnsi="Times New Roman" w:cs="Times New Roman"/>
        </w:rPr>
        <w:t>“</w:t>
      </w:r>
      <w:r w:rsidRPr="00922AC6">
        <w:rPr>
          <w:rFonts w:ascii="Times New Roman" w:hAnsi="Times New Roman" w:cs="Times New Roman"/>
        </w:rPr>
        <w:t>null frame</w:t>
      </w:r>
      <w:r>
        <w:rPr>
          <w:rFonts w:ascii="Times New Roman" w:hAnsi="Times New Roman" w:cs="Times New Roman"/>
        </w:rPr>
        <w:t>”</w:t>
      </w:r>
      <w:r w:rsidRPr="00922AC6">
        <w:rPr>
          <w:rFonts w:ascii="Times New Roman" w:hAnsi="Times New Roman" w:cs="Times New Roman"/>
        </w:rPr>
        <w:t xml:space="preserve"> pseudo dataset of </w:t>
      </w:r>
      <w:r w:rsidRPr="00922AC6">
        <w:rPr>
          <w:rFonts w:ascii="Times New Roman" w:hAnsi="Times New Roman" w:cs="Times New Roman"/>
          <w:i/>
          <w:iCs/>
        </w:rPr>
        <w:t>N</w:t>
      </w:r>
      <w:r w:rsidRPr="00922AC6">
        <w:rPr>
          <w:rFonts w:ascii="Times New Roman" w:hAnsi="Times New Roman" w:cs="Times New Roman"/>
        </w:rPr>
        <w:t xml:space="preserve"> rows and </w:t>
      </w:r>
      <w:r w:rsidRPr="00922AC6">
        <w:rPr>
          <w:rFonts w:ascii="Times New Roman" w:hAnsi="Times New Roman" w:cs="Times New Roman"/>
          <w:i/>
          <w:iCs/>
        </w:rPr>
        <w:t>K</w:t>
      </w:r>
      <w:r w:rsidRPr="00922AC6">
        <w:rPr>
          <w:rFonts w:ascii="Times New Roman" w:hAnsi="Times New Roman" w:cs="Times New Roman"/>
        </w:rPr>
        <w:t xml:space="preserve"> columns, where </w:t>
      </w:r>
      <w:r w:rsidRPr="00922AC6">
        <w:rPr>
          <w:rFonts w:ascii="Times New Roman" w:hAnsi="Times New Roman" w:cs="Times New Roman"/>
          <w:i/>
          <w:iCs/>
        </w:rPr>
        <w:t>N</w:t>
      </w:r>
      <w:r w:rsidRPr="00922AC6">
        <w:rPr>
          <w:rFonts w:ascii="Times New Roman" w:hAnsi="Times New Roman" w:cs="Times New Roman"/>
        </w:rPr>
        <w:t xml:space="preserve"> is the sample size and </w:t>
      </w:r>
      <w:r w:rsidRPr="00922AC6">
        <w:rPr>
          <w:rFonts w:ascii="Times New Roman" w:hAnsi="Times New Roman" w:cs="Times New Roman"/>
          <w:i/>
          <w:iCs/>
        </w:rPr>
        <w:t>K</w:t>
      </w:r>
      <w:r w:rsidRPr="00922AC6">
        <w:rPr>
          <w:rFonts w:ascii="Times New Roman" w:hAnsi="Times New Roman" w:cs="Times New Roman"/>
        </w:rPr>
        <w:t xml:space="preserve"> is the number of specifications. For each column (the </w:t>
      </w:r>
      <w:r w:rsidRPr="00922AC6">
        <w:rPr>
          <w:rFonts w:ascii="Times New Roman" w:hAnsi="Times New Roman" w:cs="Times New Roman"/>
          <w:i/>
          <w:iCs/>
        </w:rPr>
        <w:t>k</w:t>
      </w:r>
      <w:r w:rsidRPr="00922AC6">
        <w:rPr>
          <w:rFonts w:ascii="Times New Roman" w:hAnsi="Times New Roman" w:cs="Times New Roman"/>
          <w:vertAlign w:val="superscript"/>
        </w:rPr>
        <w:t>th</w:t>
      </w:r>
      <w:r w:rsidRPr="00922AC6">
        <w:rPr>
          <w:rFonts w:ascii="Times New Roman" w:hAnsi="Times New Roman" w:cs="Times New Roman"/>
        </w:rPr>
        <w:t xml:space="preserve"> specification), simulate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oMath>
      <w:r w:rsidRPr="00922AC6">
        <w:rPr>
          <w:rFonts w:ascii="Times New Roman" w:hAnsi="Times New Roman" w:cs="Times New Roman"/>
        </w:rPr>
        <w:t xml:space="preserve"> under the null by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actual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 xml:space="preserve">× </m:t>
        </m:r>
      </m:oMath>
      <w:r>
        <w:rPr>
          <w:rFonts w:ascii="Times New Roman" w:hAnsi="Times New Roman" w:cs="Times New Roman"/>
        </w:rPr>
        <w:softHyphen/>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actual</m:t>
            </m:r>
          </m:sub>
        </m:sSub>
      </m:oMath>
      <w:r w:rsidRPr="00922AC6">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 xml:space="preserve"> </m:t>
        </m:r>
      </m:oMath>
      <w:r w:rsidRPr="00922AC6">
        <w:rPr>
          <w:rFonts w:ascii="Times New Roman" w:hAnsi="Times New Roman" w:cs="Times New Roman"/>
        </w:rPr>
        <w:t xml:space="preserve">is the </w:t>
      </w:r>
      <w:r w:rsidRPr="00922AC6">
        <w:rPr>
          <w:rFonts w:ascii="Times New Roman" w:hAnsi="Times New Roman" w:cs="Times New Roman"/>
        </w:rPr>
        <w:lastRenderedPageBreak/>
        <w:t xml:space="preserve">standardised regression coefficient estimated from the </w:t>
      </w:r>
      <w:r w:rsidRPr="00922AC6">
        <w:rPr>
          <w:rFonts w:ascii="Times New Roman" w:hAnsi="Times New Roman" w:cs="Times New Roman"/>
          <w:i/>
          <w:iCs/>
        </w:rPr>
        <w:t>k</w:t>
      </w:r>
      <w:r w:rsidRPr="00922AC6">
        <w:rPr>
          <w:rFonts w:ascii="Times New Roman" w:hAnsi="Times New Roman" w:cs="Times New Roman"/>
          <w:vertAlign w:val="superscript"/>
        </w:rPr>
        <w:t>th</w:t>
      </w:r>
      <w:r w:rsidRPr="00922AC6">
        <w:rPr>
          <w:rFonts w:ascii="Times New Roman" w:hAnsi="Times New Roman" w:cs="Times New Roman"/>
        </w:rPr>
        <w:t> specification.</w:t>
      </w:r>
      <w:r>
        <w:rPr>
          <w:rFonts w:ascii="Times New Roman" w:hAnsi="Times New Roman" w:cs="Times New Roman"/>
        </w:rPr>
        <w:t xml:space="preserve"> Note that since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oMath>
      <w:r>
        <w:rPr>
          <w:rFonts w:ascii="Times New Roman" w:hAnsi="Times New Roman" w:cs="Times New Roman"/>
        </w:rPr>
        <w:t xml:space="preserve"> is the standardised coefficient, the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xml:space="preserve"> data that this step is conducted on must be standardised as Normal </w:t>
      </w:r>
      <w:r>
        <w:rPr>
          <w:rFonts w:ascii="Times New Roman" w:hAnsi="Times New Roman" w:cs="Times New Roman"/>
          <w:i/>
          <w:iCs/>
        </w:rPr>
        <w:t>z-</w:t>
      </w:r>
      <w:r>
        <w:rPr>
          <w:rFonts w:ascii="Times New Roman" w:hAnsi="Times New Roman" w:cs="Times New Roman"/>
        </w:rPr>
        <w:t xml:space="preserve">scores around mean, in order for the observed effect to be removed in generating the pseudo dataset. </w:t>
      </w:r>
    </w:p>
    <w:p w:rsidR="00C37F08" w:rsidRDefault="00C37F08" w:rsidP="00C37F08">
      <w:pPr>
        <w:numPr>
          <w:ilvl w:val="0"/>
          <w:numId w:val="1"/>
        </w:numPr>
        <w:spacing w:after="288" w:line="480" w:lineRule="auto"/>
        <w:rPr>
          <w:rFonts w:ascii="Times New Roman" w:hAnsi="Times New Roman" w:cs="Times New Roman"/>
        </w:rPr>
      </w:pPr>
      <w:r w:rsidRPr="00922AC6">
        <w:rPr>
          <w:rFonts w:ascii="Times New Roman" w:hAnsi="Times New Roman" w:cs="Times New Roman"/>
        </w:rPr>
        <w:t>Make a randomised draw (with replacement</w:t>
      </w:r>
      <w:r>
        <w:rPr>
          <w:rFonts w:ascii="Times New Roman" w:hAnsi="Times New Roman" w:cs="Times New Roman"/>
        </w:rPr>
        <w:t>,</w:t>
      </w:r>
      <w:r w:rsidRPr="00922AC6">
        <w:rPr>
          <w:rFonts w:ascii="Times New Roman" w:hAnsi="Times New Roman" w:cs="Times New Roman"/>
        </w:rPr>
        <w:t xml:space="preserve"> of size </w:t>
      </w:r>
      <w:r w:rsidRPr="00922AC6">
        <w:rPr>
          <w:rFonts w:ascii="Times New Roman" w:hAnsi="Times New Roman" w:cs="Times New Roman"/>
          <w:i/>
          <w:iCs/>
        </w:rPr>
        <w:t>N</w:t>
      </w:r>
      <w:r w:rsidRPr="00922AC6">
        <w:rPr>
          <w:rFonts w:ascii="Times New Roman" w:hAnsi="Times New Roman" w:cs="Times New Roman"/>
        </w:rPr>
        <w:t xml:space="preserve">) from the </w:t>
      </w:r>
      <w:r w:rsidRPr="00922AC6">
        <w:rPr>
          <w:rFonts w:ascii="Times New Roman" w:hAnsi="Times New Roman" w:cs="Times New Roman"/>
          <w:i/>
          <w:iCs/>
        </w:rPr>
        <w:t>N</w:t>
      </w:r>
      <w:r w:rsidRPr="00922AC6">
        <w:rPr>
          <w:rFonts w:ascii="Times New Roman" w:hAnsi="Times New Roman" w:cs="Times New Roman"/>
        </w:rPr>
        <w:t xml:space="preserve"> rows of the null frame, this gives 1 array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drawed</m:t>
            </m:r>
          </m:sub>
        </m:sSub>
        <m:r>
          <w:rPr>
            <w:rFonts w:ascii="Cambria Math" w:hAnsi="Cambria Math" w:cs="Times New Roman"/>
          </w:rPr>
          <m:t xml:space="preserve"> </m:t>
        </m:r>
      </m:oMath>
      <w:r w:rsidRPr="00922AC6">
        <w:rPr>
          <w:rFonts w:ascii="Times New Roman" w:hAnsi="Times New Roman" w:cs="Times New Roman"/>
        </w:rPr>
        <w:t xml:space="preserve">and </w:t>
      </w:r>
      <w:r w:rsidRPr="00922AC6">
        <w:rPr>
          <w:rFonts w:ascii="Times New Roman" w:hAnsi="Times New Roman" w:cs="Times New Roman"/>
          <w:i/>
          <w:iCs/>
        </w:rPr>
        <w:t>K</w:t>
      </w:r>
      <w:r w:rsidRPr="00922AC6">
        <w:rPr>
          <w:rFonts w:ascii="Times New Roman" w:hAnsi="Times New Roman" w:cs="Times New Roman"/>
        </w:rPr>
        <w:t xml:space="preserve"> arrays of </w:t>
      </w:r>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drawed</m:t>
            </m:r>
          </m:sub>
          <m:sup>
            <m:r>
              <w:rPr>
                <w:rFonts w:ascii="Cambria Math" w:hAnsi="Cambria Math" w:cs="Times New Roman"/>
              </w:rPr>
              <m:t>*</m:t>
            </m:r>
          </m:sup>
        </m:sSubSup>
      </m:oMath>
      <w:r w:rsidRPr="00922AC6">
        <w:rPr>
          <w:rFonts w:ascii="Times New Roman" w:hAnsi="Times New Roman" w:cs="Times New Roman"/>
        </w:rPr>
        <w:t xml:space="preserve"> corresponding to the </w:t>
      </w:r>
      <w:r w:rsidRPr="00922AC6">
        <w:rPr>
          <w:rFonts w:ascii="Times New Roman" w:hAnsi="Times New Roman" w:cs="Times New Roman"/>
          <w:i/>
          <w:iCs/>
        </w:rPr>
        <w:t>K</w:t>
      </w:r>
      <w:r w:rsidRPr="00922AC6">
        <w:rPr>
          <w:rFonts w:ascii="Times New Roman" w:hAnsi="Times New Roman" w:cs="Times New Roman"/>
        </w:rPr>
        <w:t xml:space="preserve"> specifications.</w:t>
      </w:r>
      <w:r>
        <w:rPr>
          <w:rFonts w:ascii="Times New Roman" w:hAnsi="Times New Roman" w:cs="Times New Roman"/>
        </w:rPr>
        <w:t xml:space="preserve"> Note that when performing each draw, the same draw must also be performed on the control variables. </w:t>
      </w:r>
    </w:p>
    <w:p w:rsidR="00C37F08" w:rsidRPr="009729A3" w:rsidRDefault="00C37F08" w:rsidP="00C37F08">
      <w:pPr>
        <w:numPr>
          <w:ilvl w:val="0"/>
          <w:numId w:val="1"/>
        </w:numPr>
        <w:spacing w:after="288" w:line="480" w:lineRule="auto"/>
        <w:rPr>
          <w:rFonts w:ascii="Times New Roman" w:hAnsi="Times New Roman" w:cs="Times New Roman"/>
        </w:rPr>
      </w:pPr>
      <w:r w:rsidRPr="009729A3">
        <w:rPr>
          <w:rFonts w:ascii="Times New Roman" w:hAnsi="Times New Roman" w:cs="Times New Roman"/>
        </w:rPr>
        <w:t xml:space="preserve">Perform linear regression for each of the </w:t>
      </w:r>
      <w:r w:rsidRPr="009729A3">
        <w:rPr>
          <w:rFonts w:ascii="Times New Roman" w:hAnsi="Times New Roman" w:cs="Times New Roman"/>
          <w:i/>
          <w:iCs/>
        </w:rPr>
        <w:t>K</w:t>
      </w:r>
      <w:r w:rsidRPr="009729A3">
        <w:rPr>
          <w:rFonts w:ascii="Times New Roman" w:hAnsi="Times New Roman" w:cs="Times New Roman"/>
        </w:rPr>
        <w:t xml:space="preserve"> specifications on the randomised null frame. For the </w:t>
      </w:r>
      <w:r w:rsidRPr="009729A3">
        <w:rPr>
          <w:rFonts w:ascii="Times New Roman" w:hAnsi="Times New Roman" w:cs="Times New Roman"/>
          <w:i/>
          <w:iCs/>
        </w:rPr>
        <w:t>k</w:t>
      </w:r>
      <w:r w:rsidRPr="009729A3">
        <w:rPr>
          <w:rFonts w:ascii="Times New Roman" w:hAnsi="Times New Roman" w:cs="Times New Roman"/>
          <w:vertAlign w:val="superscript"/>
        </w:rPr>
        <w:t>th</w:t>
      </w:r>
      <w:r w:rsidRPr="009729A3">
        <w:rPr>
          <w:rFonts w:ascii="Times New Roman" w:hAnsi="Times New Roman" w:cs="Times New Roman"/>
        </w:rPr>
        <w:t xml:space="preserve"> specification, compute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oMath>
      <w:r w:rsidRPr="009729A3">
        <w:rPr>
          <w:rFonts w:ascii="Times New Roman" w:hAnsi="Times New Roman" w:cs="Times New Roman"/>
        </w:rPr>
        <w:t xml:space="preserve">  by </w:t>
      </w:r>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drawed</m:t>
            </m:r>
          </m:sub>
          <m:sup>
            <m:r>
              <w:rPr>
                <w:rFonts w:ascii="Cambria Math" w:hAnsi="Cambria Math" w:cs="Times New Roman"/>
              </w:rPr>
              <m:t>*</m:t>
            </m:r>
          </m:sup>
        </m:sSubSup>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t>
            </m:r>
          </m:e>
          <m:sub>
            <m:r>
              <w:rPr>
                <w:rFonts w:ascii="Cambria Math" w:hAnsi="Cambria Math" w:cs="Times New Roman"/>
              </w:rPr>
              <m:t>drawed</m:t>
            </m:r>
          </m:sub>
        </m:sSub>
        <m:r>
          <w:rPr>
            <w:rFonts w:ascii="Cambria Math" w:hAnsi="Cambria Math" w:cs="Times New Roman"/>
          </w:rPr>
          <m:t>+Specification[k]</m:t>
        </m:r>
      </m:oMath>
      <w:r w:rsidRPr="009729A3">
        <w:rPr>
          <w:rFonts w:ascii="Times New Roman" w:hAnsi="Times New Roman" w:cs="Times New Roman"/>
        </w:rPr>
        <w:t xml:space="preserve">. Where the </w:t>
      </w:r>
      <m:oMath>
        <m:r>
          <w:rPr>
            <w:rFonts w:ascii="Cambria Math" w:hAnsi="Cambria Math" w:cs="Times New Roman"/>
          </w:rPr>
          <m:t>Specification[k]</m:t>
        </m:r>
      </m:oMath>
      <w:r w:rsidRPr="009729A3">
        <w:rPr>
          <w:rFonts w:ascii="Times New Roman" w:hAnsi="Times New Roman" w:cs="Times New Roman"/>
          <w:i/>
          <w:iCs/>
        </w:rPr>
        <w:t xml:space="preserve"> </w:t>
      </w:r>
      <w:r w:rsidRPr="009729A3">
        <w:rPr>
          <w:rFonts w:ascii="Times New Roman" w:hAnsi="Times New Roman" w:cs="Times New Roman"/>
        </w:rPr>
        <w:t xml:space="preserve">refers to the regression model at specification </w:t>
      </w:r>
      <w:r w:rsidRPr="009729A3">
        <w:rPr>
          <w:rFonts w:ascii="Times New Roman" w:hAnsi="Times New Roman" w:cs="Times New Roman"/>
          <w:i/>
          <w:iCs/>
        </w:rPr>
        <w:t xml:space="preserve">k, </w:t>
      </w:r>
      <w:r w:rsidRPr="009729A3">
        <w:rPr>
          <w:rFonts w:ascii="Times New Roman" w:hAnsi="Times New Roman" w:cs="Times New Roman"/>
        </w:rPr>
        <w:t xml:space="preserve">such as using AAA for controlling M, BBB for controlling P, </w:t>
      </w:r>
      <w:r w:rsidRPr="009729A3">
        <w:rPr>
          <w:rFonts w:ascii="Times New Roman" w:hAnsi="Times New Roman" w:cs="Times New Roman"/>
          <w:i/>
          <w:iCs/>
        </w:rPr>
        <w:t>etc.</w:t>
      </w:r>
      <w:r w:rsidRPr="009729A3">
        <w:rPr>
          <w:rFonts w:ascii="Times New Roman" w:hAnsi="Times New Roman" w:cs="Times New Roman"/>
        </w:rPr>
        <w:t xml:space="preserve"> Extract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729A3">
        <w:rPr>
          <w:rFonts w:ascii="Times New Roman" w:hAnsi="Times New Roman" w:cs="Times New Roman"/>
        </w:rPr>
        <w:t xml:space="preserve">. Calculate the SCA statistics </w:t>
      </w:r>
      <m:oMath>
        <m:r>
          <w:rPr>
            <w:rFonts w:ascii="Cambria Math" w:hAnsi="Cambria Math" w:cs="Times New Roman"/>
          </w:rPr>
          <m:t>ε⊇</m:t>
        </m:r>
      </m:oMath>
      <w:r w:rsidRPr="009729A3">
        <w:rPr>
          <w:rFonts w:ascii="Times New Roman" w:hAnsi="Times New Roman" w:cs="Times New Roman"/>
        </w:rPr>
        <w:t xml:space="preserve"> {n(</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r>
          <w:rPr>
            <w:rFonts w:ascii="Cambria Math" w:hAnsi="Cambria Math" w:cs="Times New Roman"/>
          </w:rPr>
          <m:t>&lt;.05</m:t>
        </m:r>
      </m:oMath>
      <w:r w:rsidRPr="009729A3">
        <w:rPr>
          <w:rFonts w:ascii="Times New Roman" w:hAnsi="Times New Roman" w:cs="Times New Roman"/>
        </w:rPr>
        <w:t xml:space="preserve">), n(Dominant Sign), </w:t>
      </w:r>
      <m:oMath>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β</m:t>
            </m:r>
          </m:e>
        </m:acc>
        <m:r>
          <w:rPr>
            <w:rFonts w:ascii="Cambria Math" w:hAnsi="Cambria Math" w:cs="Times New Roman"/>
          </w:rPr>
          <m:t>|</m:t>
        </m:r>
      </m:oMath>
      <w:r w:rsidRPr="009729A3">
        <w:rPr>
          <w:rFonts w:ascii="Times New Roman" w:hAnsi="Times New Roman" w:cs="Times New Roman"/>
        </w:rPr>
        <w:t>}.</w:t>
      </w:r>
    </w:p>
    <w:p w:rsidR="00C37F08" w:rsidRPr="0046117D" w:rsidRDefault="00C37F08" w:rsidP="00C37F08">
      <w:pPr>
        <w:numPr>
          <w:ilvl w:val="0"/>
          <w:numId w:val="1"/>
        </w:numPr>
        <w:spacing w:after="288" w:line="480" w:lineRule="auto"/>
        <w:rPr>
          <w:rFonts w:ascii="Times New Roman" w:hAnsi="Times New Roman" w:cs="Times New Roman"/>
          <w:lang w:val="en-GB"/>
        </w:rPr>
      </w:pPr>
      <w:r w:rsidRPr="009729A3">
        <w:rPr>
          <w:rFonts w:ascii="Times New Roman" w:hAnsi="Times New Roman" w:cs="Times New Roman"/>
        </w:rPr>
        <w:t xml:space="preserve">Repeat step 2 and 3 for </w:t>
      </w:r>
      <w:r w:rsidRPr="009729A3">
        <w:rPr>
          <w:rFonts w:ascii="Times New Roman" w:hAnsi="Times New Roman" w:cs="Times New Roman"/>
          <w:i/>
          <w:iCs/>
        </w:rPr>
        <w:t>R</w:t>
      </w:r>
      <w:r w:rsidRPr="009729A3">
        <w:rPr>
          <w:rFonts w:ascii="Times New Roman" w:hAnsi="Times New Roman" w:cs="Times New Roman"/>
        </w:rPr>
        <w:t xml:space="preserve"> number of times (where R </w:t>
      </w:r>
      <m:oMath>
        <m:r>
          <w:rPr>
            <w:rFonts w:ascii="Cambria Math" w:hAnsi="Cambria Math" w:cs="Times New Roman"/>
          </w:rPr>
          <m:t>≥</m:t>
        </m:r>
      </m:oMath>
      <w:r w:rsidRPr="009729A3">
        <w:rPr>
          <w:rFonts w:ascii="Times New Roman" w:hAnsi="Times New Roman" w:cs="Times New Roman"/>
        </w:rPr>
        <w:t xml:space="preserve"> 100) and store the extracted estimates, count how many of them have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oMath>
      <w:r w:rsidRPr="009729A3">
        <w:rPr>
          <w:rFonts w:ascii="Times New Roman" w:hAnsi="Times New Roman" w:cs="Times New Roman"/>
        </w:rPr>
        <w:t xml:space="preserve"> more extreme than that observed in the real dataset. </w:t>
      </w:r>
      <w:r w:rsidRPr="009729A3">
        <w:rPr>
          <w:rFonts w:ascii="Times New Roman" w:hAnsi="Times New Roman" w:cs="Times New Roman"/>
          <w:i/>
          <w:iCs/>
        </w:rPr>
        <w:t>Bootstrapped P</w:t>
      </w:r>
      <w:r w:rsidRPr="009729A3">
        <w:rPr>
          <w:rFonts w:ascii="Times New Roman" w:hAnsi="Times New Roman" w:cs="Times New Roman"/>
        </w:rPr>
        <w:t xml:space="preserve">-value can be calculated by </w:t>
      </w:r>
      <m:oMath>
        <m:r>
          <w:rPr>
            <w:rFonts w:ascii="Cambria Math" w:hAnsi="Cambria Math" w:cs="Times New Roman"/>
          </w:rPr>
          <m:t xml:space="preserve">P= </m:t>
        </m:r>
        <m:f>
          <m:fPr>
            <m:ctrlPr>
              <w:rPr>
                <w:rFonts w:ascii="Cambria Math" w:hAnsi="Cambria Math" w:cs="Times New Roman"/>
                <w:i/>
              </w:rPr>
            </m:ctrlPr>
          </m:fPr>
          <m:num>
            <m:r>
              <w:rPr>
                <w:rFonts w:ascii="Cambria Math" w:hAnsi="Cambria Math" w:cs="Times New Roman"/>
              </w:rPr>
              <m:t>n</m:t>
            </m:r>
            <m:d>
              <m:dPr>
                <m:endChr m:val="|"/>
                <m:ctrlPr>
                  <w:rPr>
                    <w:rFonts w:ascii="Cambria Math" w:hAnsi="Cambria Math" w:cs="Times New Roman"/>
                    <w:i/>
                  </w:rPr>
                </m:ctrlPr>
              </m:dPr>
              <m:e>
                <m:r>
                  <w:rPr>
                    <w:rFonts w:ascii="Cambria Math" w:hAnsi="Cambria Math" w:cs="Times New Roman"/>
                  </w:rPr>
                  <m:t xml:space="preserve">R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observed</m:t>
                </m:r>
              </m:sub>
            </m:sSub>
            <m:r>
              <w:rPr>
                <w:rFonts w:ascii="Cambria Math" w:hAnsi="Cambria Math" w:cs="Times New Roman"/>
              </w:rPr>
              <m:t>)</m:t>
            </m:r>
          </m:num>
          <m:den>
            <m:r>
              <w:rPr>
                <w:rFonts w:ascii="Cambria Math" w:hAnsi="Cambria Math" w:cs="Times New Roman"/>
              </w:rPr>
              <m:t>R</m:t>
            </m:r>
          </m:den>
        </m:f>
      </m:oMath>
    </w:p>
    <w:p w:rsidR="00000000" w:rsidRPr="00C37F08" w:rsidRDefault="00000000">
      <w:pPr>
        <w:spacing w:after="288"/>
        <w:rPr>
          <w:lang w:val="en-GB"/>
        </w:rPr>
      </w:pPr>
    </w:p>
    <w:sectPr w:rsidR="00D55B40" w:rsidRPr="00C37F08" w:rsidSect="00E227DE">
      <w:headerReference w:type="even" r:id="rId6"/>
      <w:headerReference w:type="default" r:id="rId7"/>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tabs>
        <w:tab w:val="right" w:pos="9360"/>
      </w:tabs>
      <w:spacing w:after="288" w:line="259" w:lineRule="auto"/>
      <w:ind w:left="0" w:firstLine="0"/>
    </w:pPr>
    <w:r>
      <w:t>CROSS-CULTURAL COURAGE</w:t>
    </w:r>
    <w:r>
      <w:tab/>
    </w: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Pr="00E227DE" w:rsidRDefault="00000000">
    <w:pPr>
      <w:tabs>
        <w:tab w:val="right" w:pos="9360"/>
      </w:tabs>
      <w:spacing w:after="0" w:line="259" w:lineRule="auto"/>
      <w:ind w:left="0" w:firstLine="0"/>
      <w:rPr>
        <w:rFonts w:ascii="Times New Roman" w:hAnsi="Times New Roman" w:cs="Times New Roman"/>
      </w:rPr>
    </w:pPr>
    <w:r w:rsidRPr="00E227DE">
      <w:rPr>
        <w:rFonts w:ascii="Times New Roman" w:hAnsi="Times New Roman" w:cs="Times New Roman"/>
      </w:rPr>
      <w:t>CROSS-CULTURAL COURAGE</w:t>
    </w:r>
    <w:r w:rsidRPr="00E227DE">
      <w:rPr>
        <w:rFonts w:ascii="Times New Roman" w:hAnsi="Times New Roman" w:cs="Times New Roman"/>
      </w:rPr>
      <w:tab/>
    </w:r>
    <w:r w:rsidRPr="00E227DE">
      <w:rPr>
        <w:rFonts w:ascii="Times New Roman" w:hAnsi="Times New Roman" w:cs="Times New Roman"/>
      </w:rPr>
      <w:fldChar w:fldCharType="begin"/>
    </w:r>
    <w:r w:rsidRPr="00E227DE">
      <w:rPr>
        <w:rFonts w:ascii="Times New Roman" w:hAnsi="Times New Roman" w:cs="Times New Roman"/>
      </w:rPr>
      <w:instrText xml:space="preserve"> PAGE   \* MERGEFORMAT </w:instrText>
    </w:r>
    <w:r w:rsidRPr="00E227DE">
      <w:rPr>
        <w:rFonts w:ascii="Times New Roman" w:hAnsi="Times New Roman" w:cs="Times New Roman"/>
      </w:rPr>
      <w:fldChar w:fldCharType="separate"/>
    </w:r>
    <w:r w:rsidRPr="00E227DE">
      <w:rPr>
        <w:rFonts w:ascii="Times New Roman" w:hAnsi="Times New Roman" w:cs="Times New Roman"/>
      </w:rPr>
      <w:t>1</w:t>
    </w:r>
    <w:r w:rsidRPr="00E227DE">
      <w:rPr>
        <w:rFonts w:ascii="Times New Roman"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7A02"/>
    <w:multiLevelType w:val="multilevel"/>
    <w:tmpl w:val="EF0C22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5011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08"/>
    <w:rsid w:val="000C78DA"/>
    <w:rsid w:val="001272C1"/>
    <w:rsid w:val="002159F6"/>
    <w:rsid w:val="002672D3"/>
    <w:rsid w:val="00406A6A"/>
    <w:rsid w:val="00451E50"/>
    <w:rsid w:val="006B58B8"/>
    <w:rsid w:val="00902FD6"/>
    <w:rsid w:val="00AA6337"/>
    <w:rsid w:val="00AB0444"/>
    <w:rsid w:val="00C37F08"/>
    <w:rsid w:val="00DD15D8"/>
    <w:rsid w:val="00DE7258"/>
    <w:rsid w:val="00EE2DEC"/>
    <w:rsid w:val="00F05C3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6613E51-4ACF-234B-BF93-96E15F8A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Microsoft YaHei" w:hAnsi="Palatino Linotype" w:cs="Times New Roman"/>
        <w:color w:val="212529"/>
        <w:kern w:val="2"/>
        <w:sz w:val="21"/>
        <w:szCs w:val="21"/>
        <w:lang w:val="en-NZ" w:eastAsia="zh-CN" w:bidi="ar-SA"/>
        <w14:ligatures w14:val="standardContextual"/>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08"/>
    <w:pPr>
      <w:spacing w:after="5" w:line="404" w:lineRule="auto"/>
      <w:ind w:left="730" w:hanging="730"/>
      <w:jc w:val="left"/>
    </w:pPr>
    <w:rPr>
      <w:rFonts w:ascii="Calibri" w:eastAsia="Calibri" w:hAnsi="Calibri" w:cs="Calibri"/>
      <w:color w:val="000000"/>
      <w:kern w:val="0"/>
      <w:sz w:val="24"/>
      <w:szCs w:val="24"/>
      <w14:ligatures w14:val="none"/>
    </w:rPr>
  </w:style>
  <w:style w:type="paragraph" w:styleId="Heading1">
    <w:name w:val="heading 1"/>
    <w:basedOn w:val="Normal"/>
    <w:next w:val="Normal"/>
    <w:link w:val="Heading1Char"/>
    <w:uiPriority w:val="9"/>
    <w:qFormat/>
    <w:rsid w:val="002159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2D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EE2DEC"/>
    <w:pPr>
      <w:tabs>
        <w:tab w:val="right" w:leader="dot" w:pos="9010"/>
      </w:tabs>
      <w:spacing w:after="288"/>
    </w:pPr>
    <w:rPr>
      <w:rFonts w:ascii="Times New Roman" w:hAnsi="Times New Roman"/>
      <w:b/>
      <w:bCs/>
      <w:color w:val="000000" w:themeColor="text1"/>
      <w:sz w:val="24"/>
      <w:szCs w:val="24"/>
    </w:rPr>
  </w:style>
  <w:style w:type="character" w:customStyle="1" w:styleId="Heading1Char">
    <w:name w:val="Heading 1 Char"/>
    <w:basedOn w:val="DefaultParagraphFont"/>
    <w:link w:val="Heading1"/>
    <w:rsid w:val="002159F6"/>
    <w:rPr>
      <w:rFonts w:asciiTheme="majorHAnsi" w:eastAsiaTheme="majorEastAsia" w:hAnsiTheme="majorHAnsi" w:cstheme="majorBidi"/>
      <w:color w:val="2F5496" w:themeColor="accent1" w:themeShade="BF"/>
      <w:sz w:val="32"/>
      <w:szCs w:val="32"/>
      <w:lang w:val="en-GB"/>
    </w:rPr>
  </w:style>
  <w:style w:type="paragraph" w:styleId="TOC2">
    <w:name w:val="toc 2"/>
    <w:basedOn w:val="Heading2"/>
    <w:next w:val="Normal"/>
    <w:autoRedefine/>
    <w:uiPriority w:val="39"/>
    <w:semiHidden/>
    <w:unhideWhenUsed/>
    <w:rsid w:val="00EE2DEC"/>
    <w:pPr>
      <w:spacing w:after="100"/>
      <w:ind w:left="210"/>
    </w:pPr>
    <w:rPr>
      <w:rFonts w:ascii="Times New Roman" w:hAnsi="Times New Roman"/>
      <w:sz w:val="24"/>
    </w:rPr>
  </w:style>
  <w:style w:type="character" w:customStyle="1" w:styleId="Heading2Char">
    <w:name w:val="Heading 2 Char"/>
    <w:basedOn w:val="DefaultParagraphFont"/>
    <w:link w:val="Heading2"/>
    <w:uiPriority w:val="9"/>
    <w:semiHidden/>
    <w:rsid w:val="00EE2DEC"/>
    <w:rPr>
      <w:rFonts w:asciiTheme="majorHAnsi" w:eastAsiaTheme="majorEastAsia" w:hAnsiTheme="majorHAnsi" w:cstheme="majorBidi"/>
      <w:color w:val="2F5496" w:themeColor="accent1" w:themeShade="BF"/>
      <w:sz w:val="26"/>
      <w:szCs w:val="26"/>
      <w:lang w:val="en-GB"/>
    </w:rPr>
  </w:style>
  <w:style w:type="paragraph" w:styleId="TOC3">
    <w:name w:val="toc 3"/>
    <w:basedOn w:val="Normal"/>
    <w:next w:val="Normal"/>
    <w:autoRedefine/>
    <w:uiPriority w:val="39"/>
    <w:semiHidden/>
    <w:unhideWhenUsed/>
    <w:rsid w:val="00EE2DEC"/>
    <w:pPr>
      <w:spacing w:after="100"/>
      <w:ind w:left="420"/>
    </w:pPr>
    <w:rPr>
      <w:rFonts w:ascii="Times New Roman" w:hAnsi="Times New Roman"/>
      <w:i/>
    </w:rPr>
  </w:style>
  <w:style w:type="character" w:styleId="Hyperlink">
    <w:name w:val="Hyperlink"/>
    <w:basedOn w:val="DefaultParagraphFont"/>
    <w:uiPriority w:val="99"/>
    <w:unhideWhenUsed/>
    <w:rsid w:val="00C37F08"/>
    <w:rPr>
      <w:color w:val="0563C1" w:themeColor="hyperlink"/>
      <w:u w:val="single"/>
    </w:rPr>
  </w:style>
  <w:style w:type="table" w:styleId="TableGrid">
    <w:name w:val="Table Grid"/>
    <w:basedOn w:val="TableNormal"/>
    <w:uiPriority w:val="39"/>
    <w:rsid w:val="00C37F08"/>
    <w:pPr>
      <w:spacing w:line="240" w:lineRule="auto"/>
      <w:ind w:firstLine="0"/>
      <w:jc w:val="left"/>
    </w:pPr>
    <w:rPr>
      <w:rFonts w:asciiTheme="minorHAnsi" w:hAnsiTheme="minorHAnsi" w:cstheme="minorBidi"/>
      <w:color w:val="auto"/>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osf.io/g5wjt/files/?view_only=2aaa699d1c984587864f46b9659c3b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dc:creator>
  <cp:keywords/>
  <dc:description/>
  <cp:lastModifiedBy>James He</cp:lastModifiedBy>
  <cp:revision>1</cp:revision>
  <dcterms:created xsi:type="dcterms:W3CDTF">2023-08-07T11:22:00Z</dcterms:created>
  <dcterms:modified xsi:type="dcterms:W3CDTF">2023-08-07T11:25:00Z</dcterms:modified>
</cp:coreProperties>
</file>