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RTCNYC Tool 11.1 </w:t>
      </w:r>
    </w:p>
    <w:p w:rsidR="00000000" w:rsidDel="00000000" w:rsidP="00000000" w:rsidRDefault="00000000" w:rsidRPr="00000000" w14:paraId="00000001">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RTC History Activity: Facilitation Guide </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What is RTC and why did the tenant movement fight for it?  </w:t>
        <w:tab/>
        <w:tab/>
        <w:tab/>
        <w:tab/>
        <w:t xml:space="preserve">10 minutes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(Note: if you’re short on time you could cut this whole first section)</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Show Video: </w:t>
      </w:r>
      <w:hyperlink r:id="rId6">
        <w:r w:rsidDel="00000000" w:rsidR="00000000" w:rsidRPr="00000000">
          <w:rPr>
            <w:rFonts w:ascii="Calibri" w:cs="Calibri" w:eastAsia="Calibri" w:hAnsi="Calibri"/>
            <w:color w:val="1155cc"/>
            <w:u w:val="single"/>
            <w:rtl w:val="0"/>
          </w:rPr>
          <w:t xml:space="preserve">https://www.youtube.com/watch?v=lrlsSrRCuyg</w:t>
        </w:r>
      </w:hyperlink>
      <w:r w:rsidDel="00000000" w:rsidR="00000000" w:rsidRPr="00000000">
        <w:rPr>
          <w:rFonts w:ascii="Calibri" w:cs="Calibri" w:eastAsia="Calibri" w:hAnsi="Calibri"/>
          <w:rtl w:val="0"/>
        </w:rPr>
        <w:t xml:space="preserve"> (5 minutes) </w:t>
      </w:r>
    </w:p>
    <w:p w:rsidR="00000000" w:rsidDel="00000000" w:rsidP="00000000" w:rsidRDefault="00000000" w:rsidRPr="00000000" w14:paraId="0000000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The film has subtitles in Spanish!  Make sure to hit the “cc” button at the bottom right corner of the screen to turn the subtitles on.  </w:t>
      </w:r>
    </w:p>
    <w:p w:rsidR="00000000" w:rsidDel="00000000" w:rsidP="00000000" w:rsidRDefault="00000000" w:rsidRPr="00000000" w14:paraId="0000000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Load the video before you play it so that it doesn’t stall or download it beforehand if you don’t have internet access.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After the movie, ask:  What did we learn about why tenants fought for RTC? </w:t>
      </w:r>
    </w:p>
    <w:p w:rsidR="00000000" w:rsidDel="00000000" w:rsidP="00000000" w:rsidRDefault="00000000" w:rsidRPr="00000000" w14:paraId="0000000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Take answers popcorn style. </w:t>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Conclusion points to add if they aren’t brought up: </w:t>
      </w:r>
    </w:p>
    <w:p w:rsidR="00000000" w:rsidDel="00000000" w:rsidP="00000000" w:rsidRDefault="00000000" w:rsidRPr="00000000" w14:paraId="0000000D">
      <w:pPr>
        <w:widowControl w:val="0"/>
        <w:numPr>
          <w:ilvl w:val="2"/>
          <w:numId w:val="2"/>
        </w:numPr>
        <w:spacing w:after="16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There are about 25,000 evictions in this city. 77% of families who were evicted, wouldn’t have been if they had attorneys. That means landlords evict people not because they are right, but because they have power.  RTC shifts that power.  Not only will tenants start to win their cases, but we think landlords will stop suing tenants like they have been and this epidemic of evictions that our communities face will start to end. And that creates space for us to fight different battles. </w:t>
      </w:r>
    </w:p>
    <w:p w:rsidR="00000000" w:rsidDel="00000000" w:rsidP="00000000" w:rsidRDefault="00000000" w:rsidRPr="00000000" w14:paraId="0000000E">
      <w:pPr>
        <w:widowControl w:val="0"/>
        <w:numPr>
          <w:ilvl w:val="2"/>
          <w:numId w:val="2"/>
        </w:numPr>
        <w:spacing w:after="16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RTC reminds us that we have rights. Also, it isn’t just about court and evictions. It’s about every time tenants are scared to call 311, to complain to their landlord, to organize in their building. RTC reminds people that being behind on your rent is their fault! It’s the fault of a city where housing isn’t a right and landlords have too much power. Most everyone’s rent is too high---so that’s a political problem, not a personal one. </w:t>
      </w:r>
    </w:p>
    <w:p w:rsidR="00000000" w:rsidDel="00000000" w:rsidP="00000000" w:rsidRDefault="00000000" w:rsidRPr="00000000" w14:paraId="0000000F">
      <w:pPr>
        <w:widowControl w:val="0"/>
        <w:numPr>
          <w:ilvl w:val="2"/>
          <w:numId w:val="2"/>
        </w:numPr>
        <w:spacing w:after="16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RTC will is also inspire tenants to organize in their buildings, because they know if their landlord retaliates, they will be defended---because we, the tenant movement created a NEW RIGHT in this city.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How did the tenant movement win RTC? </w:t>
        <w:tab/>
        <w:tab/>
        <w:tab/>
        <w:tab/>
        <w:tab/>
        <w:tab/>
        <w:t xml:space="preserve">20 minutes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90" w:right="0" w:firstLine="360"/>
        <w:jc w:val="left"/>
        <w:rPr>
          <w:rFonts w:ascii="Calibri" w:cs="Calibri" w:eastAsia="Calibri" w:hAnsi="Calibri"/>
          <w:i w:val="1"/>
        </w:rPr>
      </w:pPr>
      <w:r w:rsidDel="00000000" w:rsidR="00000000" w:rsidRPr="00000000">
        <w:rPr>
          <w:rFonts w:ascii="Calibri" w:cs="Calibri" w:eastAsia="Calibri" w:hAnsi="Calibri"/>
          <w:i w:val="1"/>
          <w:rtl w:val="0"/>
        </w:rPr>
        <w:t xml:space="preserve">Activity Prep: </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i w:val="1"/>
        </w:rPr>
      </w:pPr>
      <w:r w:rsidDel="00000000" w:rsidR="00000000" w:rsidRPr="00000000">
        <w:rPr>
          <w:rFonts w:ascii="Calibri" w:cs="Calibri" w:eastAsia="Calibri" w:hAnsi="Calibri"/>
          <w:rtl w:val="0"/>
        </w:rPr>
        <w:t xml:space="preserve">Copy the timeline on bright colored paper, with English on one side and the corresponding Spanish slide on the other. Make an additional copy of the activity for yourself (sometimes people can’t find the paper and you need to step in and read a particular card). If you have interpretation services, make sure the interpreter also has a copy! </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i w:val="1"/>
        </w:rPr>
      </w:pPr>
      <w:r w:rsidDel="00000000" w:rsidR="00000000" w:rsidRPr="00000000">
        <w:rPr>
          <w:rFonts w:ascii="Calibri" w:cs="Calibri" w:eastAsia="Calibri" w:hAnsi="Calibri"/>
          <w:rtl w:val="0"/>
        </w:rPr>
        <w:t xml:space="preserve">Have tape and wall space where you can put the history up.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Facilitation Guide: </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RTC is historic!  How did we win this amazing victory?  We are going to do an interactive game to tell the story of the campaign. Some of you have a piece of bright yellow paper under your chairs! If you do, please find it and pick it up now.  Each piece of paper tells a bit of our story as the coalition!!! </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Each paper is numbered. Who has number 1? Can you please come up to the front of the room and read it out loud? </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After each history point is read, tape it on the wall. </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Who has number 2? etc.  There are a total of 20 slides. </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When you finish the timeline, ask: Any reactions or lessons? Anything you learned that you didn’t know? </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The timeline ends in October 2017.  But the coalition hasn’t stopped organizing. Since October: </w:t>
      </w:r>
    </w:p>
    <w:p w:rsidR="00000000" w:rsidDel="00000000" w:rsidP="00000000" w:rsidRDefault="00000000" w:rsidRPr="00000000" w14:paraId="0000002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Evictions have gone down by 24%. Filings have gone down by 10%. 15 zip codes have RTC (zip codes are being phased in over 5 years.  Zip codes will be irrelevant by 2022). </w:t>
      </w:r>
    </w:p>
    <w:p w:rsidR="00000000" w:rsidDel="00000000" w:rsidP="00000000" w:rsidRDefault="00000000" w:rsidRPr="00000000" w14:paraId="0000002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Judges and court staff tell tenants about RTC and the court culture is changing. </w:t>
      </w:r>
    </w:p>
    <w:p w:rsidR="00000000" w:rsidDel="00000000" w:rsidP="00000000" w:rsidRDefault="00000000" w:rsidRPr="00000000" w14:paraId="0000002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In April 2018, the coalition held  town halls in every borough to explain how RTC works, which over 600 tenants attended. Over 5,000 tenants received information about RTC during outreach for the town halls. </w:t>
      </w:r>
    </w:p>
    <w:p w:rsidR="00000000" w:rsidDel="00000000" w:rsidP="00000000" w:rsidRDefault="00000000" w:rsidRPr="00000000" w14:paraId="0000002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Organizing groups have been doing leadership trainings and tenant workshops with tenants who come to the town halls. </w:t>
      </w:r>
    </w:p>
    <w:p w:rsidR="00000000" w:rsidDel="00000000" w:rsidP="00000000" w:rsidRDefault="00000000" w:rsidRPr="00000000" w14:paraId="00000028">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Organizing groups are forming tenants associations in every borough where folks have RTC to build tenant power. </w:t>
      </w:r>
    </w:p>
    <w:p w:rsidR="00000000" w:rsidDel="00000000" w:rsidP="00000000" w:rsidRDefault="00000000" w:rsidRPr="00000000" w14:paraId="00000029">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In June 2018, the coalition announced RTC 2.0 legislation: </w:t>
      </w:r>
    </w:p>
    <w:p w:rsidR="00000000" w:rsidDel="00000000" w:rsidP="00000000" w:rsidRDefault="00000000" w:rsidRPr="00000000" w14:paraId="0000002A">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Increase income threshold from 200%-400%; </w:t>
      </w:r>
    </w:p>
    <w:p w:rsidR="00000000" w:rsidDel="00000000" w:rsidP="00000000" w:rsidRDefault="00000000" w:rsidRPr="00000000" w14:paraId="0000002B">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Mandate funding for organizing; </w:t>
      </w:r>
    </w:p>
    <w:p w:rsidR="00000000" w:rsidDel="00000000" w:rsidP="00000000" w:rsidRDefault="00000000" w:rsidRPr="00000000" w14:paraId="0000002C">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Cover more cases like appeals, and cases in other venues (supreme court, HPD hearings, etc.). </w:t>
      </w:r>
    </w:p>
    <w:p w:rsidR="00000000" w:rsidDel="00000000" w:rsidP="00000000" w:rsidRDefault="00000000" w:rsidRPr="00000000" w14:paraId="0000002D">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coalition created new resources for tenants to know their rights:</w:t>
      </w:r>
    </w:p>
    <w:p w:rsidR="00000000" w:rsidDel="00000000" w:rsidP="00000000" w:rsidRDefault="00000000" w:rsidRPr="00000000" w14:paraId="0000002E">
      <w:pPr>
        <w:numPr>
          <w:ilvl w:val="2"/>
          <w:numId w:val="3"/>
        </w:numPr>
        <w:ind w:left="2160" w:hanging="18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www.evictionfreenyc.org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numPr>
          <w:ilvl w:val="3"/>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Now in English and Spanish. </w:t>
      </w:r>
    </w:p>
    <w:p w:rsidR="00000000" w:rsidDel="00000000" w:rsidP="00000000" w:rsidRDefault="00000000" w:rsidRPr="00000000" w14:paraId="00000030">
      <w:pPr>
        <w:numPr>
          <w:ilvl w:val="3"/>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Working on translating it into French and Haitian Kreyol. </w:t>
      </w:r>
    </w:p>
    <w:p w:rsidR="00000000" w:rsidDel="00000000" w:rsidP="00000000" w:rsidRDefault="00000000" w:rsidRPr="00000000" w14:paraId="00000031">
      <w:pPr>
        <w:numPr>
          <w:ilvl w:val="3"/>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Raising funds for other languages. </w:t>
      </w:r>
    </w:p>
    <w:p w:rsidR="00000000" w:rsidDel="00000000" w:rsidP="00000000" w:rsidRDefault="00000000" w:rsidRPr="00000000" w14:paraId="00000032">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FAQs </w:t>
      </w:r>
    </w:p>
    <w:p w:rsidR="00000000" w:rsidDel="00000000" w:rsidP="00000000" w:rsidRDefault="00000000" w:rsidRPr="00000000" w14:paraId="00000033">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Outreach fliers </w:t>
      </w:r>
    </w:p>
    <w:p w:rsidR="00000000" w:rsidDel="00000000" w:rsidP="00000000" w:rsidRDefault="00000000" w:rsidRPr="00000000" w14:paraId="00000034">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New logo </w:t>
      </w:r>
    </w:p>
    <w:p w:rsidR="00000000" w:rsidDel="00000000" w:rsidP="00000000" w:rsidRDefault="00000000" w:rsidRPr="00000000" w14:paraId="0000003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law funds lawyers, not organizers! The coalition is actively fundraising to support neighborhood based groups doing tenant organizing. </w:t>
      </w:r>
    </w:p>
    <w:p w:rsidR="00000000" w:rsidDel="00000000" w:rsidP="00000000" w:rsidRDefault="00000000" w:rsidRPr="00000000" w14:paraId="0000003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received an award from the National Low Income Housing Coalition in DC! </w:t>
      </w:r>
    </w:p>
    <w:p w:rsidR="00000000" w:rsidDel="00000000" w:rsidP="00000000" w:rsidRDefault="00000000" w:rsidRPr="00000000" w14:paraId="0000003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Working with other cities to pass RTC! Currently 14 other cities are working to pass RTC! </w:t>
      </w:r>
    </w:p>
    <w:p w:rsidR="00000000" w:rsidDel="00000000" w:rsidP="00000000" w:rsidRDefault="00000000" w:rsidRPr="00000000" w14:paraId="00000038">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We took a group of 10 tenant leaders to Boston to meet with Vida Urbana about their eviction blockade model! </w:t>
      </w:r>
    </w:p>
    <w:p w:rsidR="00000000" w:rsidDel="00000000" w:rsidP="00000000" w:rsidRDefault="00000000" w:rsidRPr="00000000" w14:paraId="00000039">
      <w:pPr>
        <w:numPr>
          <w:ilvl w:val="2"/>
          <w:numId w:val="3"/>
        </w:numPr>
        <w:ind w:left="2160" w:hanging="180"/>
        <w:rPr>
          <w:rFonts w:ascii="Calibri" w:cs="Calibri" w:eastAsia="Calibri" w:hAnsi="Calibri"/>
        </w:rPr>
      </w:pPr>
      <w:r w:rsidDel="00000000" w:rsidR="00000000" w:rsidRPr="00000000">
        <w:rPr>
          <w:rFonts w:ascii="Calibri" w:cs="Calibri" w:eastAsia="Calibri" w:hAnsi="Calibri"/>
          <w:rtl w:val="0"/>
        </w:rPr>
        <w:t xml:space="preserve">We took a group of 50 tenant leaders to DC to see the “EVICTED” exhibit and met with a group of local lawyers and organizers working on RTC. </w:t>
      </w:r>
    </w:p>
    <w:p w:rsidR="00000000" w:rsidDel="00000000" w:rsidP="00000000" w:rsidRDefault="00000000" w:rsidRPr="00000000" w14:paraId="0000003A">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We’ve done numerous presentations and panels about RTC to get the word out. </w:t>
      </w:r>
    </w:p>
    <w:p w:rsidR="00000000" w:rsidDel="00000000" w:rsidP="00000000" w:rsidRDefault="00000000" w:rsidRPr="00000000" w14:paraId="0000003B">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are starting a courtwatch program in the Bronx to monitor landlord behavior and to support tenants as they claim their right to an attorney! </w:t>
      </w:r>
    </w:p>
    <w:p w:rsidR="00000000" w:rsidDel="00000000" w:rsidP="00000000" w:rsidRDefault="00000000" w:rsidRPr="00000000" w14:paraId="0000003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 coalition meets monthly and has 5 main working groups:</w:t>
      </w:r>
    </w:p>
    <w:p w:rsidR="00000000" w:rsidDel="00000000" w:rsidP="00000000" w:rsidRDefault="00000000" w:rsidRPr="00000000" w14:paraId="0000003D">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Tenant organizing; </w:t>
      </w:r>
    </w:p>
    <w:p w:rsidR="00000000" w:rsidDel="00000000" w:rsidP="00000000" w:rsidRDefault="00000000" w:rsidRPr="00000000" w14:paraId="0000003E">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Tenant attorney pipeline; </w:t>
      </w:r>
    </w:p>
    <w:p w:rsidR="00000000" w:rsidDel="00000000" w:rsidP="00000000" w:rsidRDefault="00000000" w:rsidRPr="00000000" w14:paraId="0000003F">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Court based implementation;</w:t>
      </w:r>
    </w:p>
    <w:p w:rsidR="00000000" w:rsidDel="00000000" w:rsidP="00000000" w:rsidRDefault="00000000" w:rsidRPr="00000000" w14:paraId="00000040">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National coordination and </w:t>
      </w:r>
    </w:p>
    <w:p w:rsidR="00000000" w:rsidDel="00000000" w:rsidP="00000000" w:rsidRDefault="00000000" w:rsidRPr="00000000" w14:paraId="00000041">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RTC 2.0. </w:t>
      </w:r>
    </w:p>
    <w:p w:rsidR="00000000" w:rsidDel="00000000" w:rsidP="00000000" w:rsidRDefault="00000000" w:rsidRPr="00000000" w14:paraId="00000042">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You can sign up for general updates, to volunteer and to donate on our website </w:t>
      </w:r>
      <w:hyperlink r:id="rId8">
        <w:r w:rsidDel="00000000" w:rsidR="00000000" w:rsidRPr="00000000">
          <w:rPr>
            <w:rFonts w:ascii="Calibri" w:cs="Calibri" w:eastAsia="Calibri" w:hAnsi="Calibri"/>
            <w:color w:val="1155cc"/>
            <w:u w:val="single"/>
            <w:rtl w:val="0"/>
          </w:rPr>
          <w:t xml:space="preserve">www.righttocounselnyc.org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rlsSrRCuyg" TargetMode="External"/><Relationship Id="rId7" Type="http://schemas.openxmlformats.org/officeDocument/2006/relationships/hyperlink" Target="http://www.evictionfreenyc.org" TargetMode="External"/><Relationship Id="rId8" Type="http://schemas.openxmlformats.org/officeDocument/2006/relationships/hyperlink" Target="http://www.righttocounselny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