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795338" cy="955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95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RTCNYC Tool 12.3.3.12 Plan for the People's Tribunal on Evictions in NYC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jc w:val="cente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October 29,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12pm--Set up art, tables.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3pm---Tenants Rights Info Fair begins. Legal clinic or storytelling booth could take place down the hall.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Set up begins in the main room 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22222"/>
          <w:rtl w:val="0"/>
        </w:rPr>
        <w:t xml:space="preserve">wall where people can use stickies or write on butcher paper their stories of displacement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DJ sets up and begins to play background music or maybe the DJ plays at the end and we hook up a playlist until the band plays.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5-5:30pm: MC: Opening and welcome and welcomes the band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Tell band to be there for 1 hour 5pm-6pm for arrival, set up and they will start to play at 5:15pm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Interpretation point people should be giving out equipment, checking it, etc., in the meantime.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6pm: Clean up the info fair downstairs?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6pm:</w:t>
      </w:r>
      <w:r w:rsidDel="00000000" w:rsidR="00000000" w:rsidRPr="00000000">
        <w:rPr>
          <w:color w:val="222222"/>
          <w:rtl w:val="0"/>
        </w:rPr>
        <w:t xml:space="preserve"> Opening Ceremony {slideshow of pictures from RTC orgs to play in the background)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22222"/>
          <w:rtl w:val="0"/>
        </w:rPr>
        <w:t xml:space="preserve">MC: </w:t>
      </w:r>
      <w:r w:rsidDel="00000000" w:rsidR="00000000" w:rsidRPr="00000000">
        <w:rPr>
          <w:color w:val="222222"/>
          <w:rtl w:val="0"/>
        </w:rPr>
        <w:t xml:space="preserve">Opening and welcome (10 min)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Why we are doing the tribunal 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acknowledgment/honoring of the land and the Lenape 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Presentation of Altar 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chant/song/shared prayer?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presentation of our citywide demands (10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People to present: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demands per org/group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Power to organize video 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Pass out RTC petition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Explanation of how the tribunal will work (10 min)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Welcome and message of solidarity 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MC: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Presentation of the Jury 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Introduce time keepers 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Interpretation rules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6:30pm: Tribunal begins! MC back on the mic!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6:30-7:15: RTC Prepared Testimonies (7 min each org): 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BK --landlord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BX-landlord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BX--landlord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Queens--landlord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OCA--- Brooklyn &amp; Bronx Justice in Housing Court coalition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7:15--8:30pm: MC opens up the Open Public Testimonies (3 minute limit=30 testimonies; 2 min=45 testimonies)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8:30pm: launch/announcement of the eviction defense network by a </w:t>
      </w:r>
      <w:r w:rsidDel="00000000" w:rsidR="00000000" w:rsidRPr="00000000">
        <w:rPr>
          <w:color w:val="222222"/>
          <w:rtl w:val="0"/>
        </w:rPr>
        <w:t xml:space="preserve">Tenant Leader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Call to action 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Commitment card with invite to the 11/21 orientation for eviction defense network 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Attend OCJ hearing?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8:40pm: Jury to issue indictments and endorse city wide demands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20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9pm: closing song/chant (have this filmed by photographer) Put this on social media!</w:t>
      </w:r>
    </w:p>
    <w:p w:rsidR="00000000" w:rsidDel="00000000" w:rsidP="00000000" w:rsidRDefault="00000000" w:rsidRPr="00000000" w14:paraId="0000002B">
      <w:pPr>
        <w:pageBreakBefore w:val="0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Materials Needed: </w:t>
      </w:r>
      <w:r w:rsidDel="00000000" w:rsidR="00000000" w:rsidRPr="00000000">
        <w:rPr>
          <w:b w:val="1"/>
          <w:color w:val="222222"/>
          <w:rtl w:val="0"/>
        </w:rPr>
        <w:t xml:space="preserve">(bolded means it’s already done/prepared)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 w:before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Registration Table: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Blank sign in sheet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 out from Eventbrite 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Commitment cards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Testimony sign up cards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Sign in sheet for legal clinic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Interpretation sign in sheet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Interpretation equipment and Batteries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Buttons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EFNYC cards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FAQs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Eviction Pamphlets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11/21 orientation flyer 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NYCHA flyer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Banners 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Demands flyers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Power to Organize Campaign Materials 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OCJ hearing Flyers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Mic system/audio system, NWBCC, FTC and Rob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 Projectors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Projector Screen, will make with fabric that SB brings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 Laptop with cables to connect, SB, CMS and CASA to bring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USB with slideshow of pictures, SB/AF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Demands posters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posters/placards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Water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Napkins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Plates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Volunteer list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spacing w:after="20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Facilitators agenda </w:t>
      </w:r>
    </w:p>
    <w:p w:rsidR="00000000" w:rsidDel="00000000" w:rsidP="00000000" w:rsidRDefault="00000000" w:rsidRPr="00000000" w14:paraId="0000004B">
      <w:pPr>
        <w:pageBreakBefore w:val="0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