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RTCNYC Tool 12.4.3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ESSENTIAL TRAININGS FOR RTC ATTORNEYS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Right to Counsel NYC Coalition recommends that all attorneys providing right to counsel representation receive the following trainings in </w:t>
      </w:r>
      <w:r w:rsidDel="00000000" w:rsidR="00000000" w:rsidRPr="00000000">
        <w:rPr>
          <w:b w:val="1"/>
          <w:rtl w:val="0"/>
        </w:rPr>
        <w:t xml:space="preserve">essential skills, methods, history and context</w:t>
      </w:r>
      <w:r w:rsidDel="00000000" w:rsidR="00000000" w:rsidRPr="00000000">
        <w:rPr>
          <w:rtl w:val="0"/>
        </w:rPr>
        <w:t xml:space="preserve">, ideally in their first 6 months of practice. 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History of the Tenant Movement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Plus Right to Counsel - campaign history and the work of the RTC Coalition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to work with interpreters and the rights of LEP (limited English proficiency) tenants and related ethical issues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Working with tenants who have mental health issues (covering legal, clinical and social aspects and related ethical issues)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Attorney/Client relationships, including communications with clients and explaining court proceedings to non-lawyers, conducting tenant centered intake, and how to provide tenant centered legal representation.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Intersection of legal issues and social issues, cultural humility, holistic representation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Crisis intervention and de-escalation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Structural racism and Implicit bias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Gender bias and discrimination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Organizing 101, including working with tenant organizers (especially in buildings) and movement lawyering approaches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Politics and Economics of Housing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Vicarious trauma and self-care and time-management 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The Coalition also recommends that all attorneys receive training in the following areas of </w:t>
      </w:r>
      <w:r w:rsidDel="00000000" w:rsidR="00000000" w:rsidRPr="00000000">
        <w:rPr>
          <w:b w:val="1"/>
          <w:rtl w:val="0"/>
        </w:rPr>
        <w:t xml:space="preserve">substantive housing law and practice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Housing 101 and </w:t>
      </w:r>
      <w:r w:rsidDel="00000000" w:rsidR="00000000" w:rsidRPr="00000000">
        <w:rPr>
          <w:rtl w:val="0"/>
        </w:rPr>
        <w:t xml:space="preserve">Rent Regulation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Holdovers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Non-Pays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Negotiations and Stipulations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Repairs and Harassment Cases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Client Interviewing/Intake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Rent Subsidies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Case investigation and legal research tools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Trial Advocacy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Legal writing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Motion Law and Practice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NYCHA Practice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Legal Ethics for Housing Advocates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Public Benefits and Arrears Assistance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FHEPS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Post-Judgement and Post-Eviction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Impact litigation and advocacy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Navigating the Shelter System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Single Room Occupancy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Virtual Litigation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Finally, the Coalition recommends the creation of an </w:t>
      </w:r>
      <w:r w:rsidDel="00000000" w:rsidR="00000000" w:rsidRPr="00000000">
        <w:rPr>
          <w:b w:val="1"/>
          <w:rtl w:val="0"/>
        </w:rPr>
        <w:t xml:space="preserve">orientation/training for new clients</w:t>
      </w:r>
      <w:r w:rsidDel="00000000" w:rsidR="00000000" w:rsidRPr="00000000">
        <w:rPr>
          <w:rtl w:val="0"/>
        </w:rPr>
        <w:t xml:space="preserve"> on the attorney-client relationship, court processes, client’s rights and what to expect from your attorney, client’s responsibilities, GALs etc. This could be a short video or a plain language booklet and it could be created by the </w:t>
      </w:r>
      <w:r w:rsidDel="00000000" w:rsidR="00000000" w:rsidRPr="00000000">
        <w:rPr>
          <w:rtl w:val="0"/>
        </w:rPr>
        <w:t xml:space="preserve">Coalition</w:t>
      </w:r>
      <w:r w:rsidDel="00000000" w:rsidR="00000000" w:rsidRPr="00000000">
        <w:rPr>
          <w:rtl w:val="0"/>
        </w:rPr>
        <w:t xml:space="preserve"> for all the legal services organizations to use. Also, organizing groups and other community organizations could incorporate this into the Know Your Rights trainings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747713</wp:posOffset>
          </wp:positionH>
          <wp:positionV relativeFrom="paragraph">
            <wp:posOffset>114300</wp:posOffset>
          </wp:positionV>
          <wp:extent cx="4452938" cy="857250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2938" cy="857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