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tabs>
          <w:tab w:val="left" w:pos="12460"/>
        </w:tabs>
        <w:contextualSpacing w:val="0"/>
        <w:rPr>
          <w:b w:val="1"/>
        </w:rPr>
      </w:pPr>
      <w:bookmarkStart w:colFirst="0" w:colLast="0" w:name="_t59exslt77s" w:id="0"/>
      <w:bookmarkEnd w:id="0"/>
      <w:r w:rsidDel="00000000" w:rsidR="00000000" w:rsidRPr="00000000">
        <w:rPr>
          <w:b w:val="1"/>
          <w:rtl w:val="0"/>
        </w:rPr>
        <w:t xml:space="preserve">RTCNYC Tool 5.2</w:t>
      </w:r>
    </w:p>
    <w:p w:rsidR="00000000" w:rsidDel="00000000" w:rsidP="00000000" w:rsidRDefault="00000000" w:rsidRPr="00000000" w14:paraId="00000002">
      <w:pPr>
        <w:widowControl w:val="0"/>
        <w:tabs>
          <w:tab w:val="left" w:pos="12460"/>
        </w:tabs>
        <w:contextualSpacing w:val="0"/>
        <w:rPr>
          <w:b w:val="1"/>
        </w:rPr>
      </w:pPr>
      <w:bookmarkStart w:colFirst="0" w:colLast="0" w:name="_3qyh9phttvr5" w:id="1"/>
      <w:bookmarkEnd w:id="1"/>
      <w:r w:rsidDel="00000000" w:rsidR="00000000" w:rsidRPr="00000000">
        <w:rPr>
          <w:b w:val="1"/>
          <w:rtl w:val="0"/>
        </w:rPr>
        <w:t xml:space="preserve">Sample Agenda for Right to Counsel Presentations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One of the ways we secured support for Right to Counsel was by presenting to community boards in New York City. Community boards are </w:t>
      </w:r>
      <w:r w:rsidDel="00000000" w:rsidR="00000000" w:rsidRPr="00000000">
        <w:rPr>
          <w:i w:val="1"/>
          <w:rtl w:val="0"/>
        </w:rPr>
        <w:t xml:space="preserve">local representative bodies in New York City that vote on local matters and serve as advisors to the mayoral administration. After</w:t>
      </w:r>
      <w:r w:rsidDel="00000000" w:rsidR="00000000" w:rsidRPr="00000000">
        <w:rPr>
          <w:i w:val="1"/>
          <w:rtl w:val="0"/>
        </w:rPr>
        <w:t xml:space="preserve"> we </w:t>
      </w:r>
      <w:r w:rsidDel="00000000" w:rsidR="00000000" w:rsidRPr="00000000">
        <w:rPr>
          <w:i w:val="1"/>
          <w:rtl w:val="0"/>
        </w:rPr>
        <w:t xml:space="preserve"> present</w:t>
      </w:r>
      <w:r w:rsidDel="00000000" w:rsidR="00000000" w:rsidRPr="00000000">
        <w:rPr>
          <w:i w:val="1"/>
          <w:rtl w:val="0"/>
        </w:rPr>
        <w:t xml:space="preserve">ed </w:t>
      </w:r>
      <w:r w:rsidDel="00000000" w:rsidR="00000000" w:rsidRPr="00000000">
        <w:rPr>
          <w:i w:val="1"/>
          <w:rtl w:val="0"/>
        </w:rPr>
        <w:t xml:space="preserve">to and connect</w:t>
      </w:r>
      <w:r w:rsidDel="00000000" w:rsidR="00000000" w:rsidRPr="00000000">
        <w:rPr>
          <w:i w:val="1"/>
          <w:rtl w:val="0"/>
        </w:rPr>
        <w:t xml:space="preserve">ed </w:t>
      </w:r>
      <w:r w:rsidDel="00000000" w:rsidR="00000000" w:rsidRPr="00000000">
        <w:rPr>
          <w:i w:val="1"/>
          <w:rtl w:val="0"/>
        </w:rPr>
        <w:t xml:space="preserve">with community boards, several community boards drafted and circulated letters endorsing Right to Counsel. Once we had resolutions from a good number of community boards, we issued a press release and blasted social media targeting the Mayor to increase pressure and awareness about the growing support for Right to Counsel. Below is a sample agenda for a short presentation on Right to Counsel that can be used in different spaces. </w:t>
      </w:r>
      <w:r w:rsidDel="00000000" w:rsidR="00000000" w:rsidRPr="00000000">
        <w:rPr>
          <w:i w:val="1"/>
          <w:rtl w:val="0"/>
        </w:rPr>
        <w:t xml:space="preserve">See a sample presentation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i w:val="1"/>
          <w:rtl w:val="0"/>
        </w:rPr>
        <w:t xml:space="preserve"> These presentations are designed for meetings where you only have a few minutes to speak. You can quickly and clearly introduce your coalition, make the case for Right to Counsel, and end with an ask for support.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b w:val="1"/>
          <w:sz w:val="24"/>
          <w:szCs w:val="24"/>
        </w:rPr>
      </w:pPr>
      <w:bookmarkStart w:colFirst="0" w:colLast="0" w:name="_wjsod0kzv0p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Right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Counsel Presentation 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[Location]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Presenters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It is a good idea to bring organizers, tenant leaders, and attorneys who live in the community board to your presentation to talk about different aspects of RTC.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introduction of RTCNYC Coalition and attendees [1 min]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 of RTC [7-8 min]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at stake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Tenant stories / how RTC affects our communities/clients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facts about RTC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Asking for Resolution in sup</w:t>
      </w:r>
      <w:r w:rsidDel="00000000" w:rsidR="00000000" w:rsidRPr="00000000">
        <w:rPr>
          <w:sz w:val="24"/>
          <w:szCs w:val="24"/>
          <w:rtl w:val="0"/>
        </w:rPr>
        <w:t xml:space="preserve">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[1 min]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Questions? – [5 min]   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after="200" w:line="276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433388" cy="54173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3388" cy="5417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cs="Calibri" w:eastAsia="Calibri" w:hAnsi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tctoolkit.org/docs/5/RTCNYC%20Powerpoint.pptx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