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B14EF" w:sz="18" w:space="4"/>
        </w:pBdr>
        <w:spacing w:after="60"/>
      </w:pPr>
      <w:r>
        <w:rPr>
          <w:rFonts w:ascii="Arial" w:cs="Arial" w:eastAsia="Arial" w:hAnsi="Arial"/>
          <w:b/>
          <w:bCs/>
          <w:color w:val="7B14EF"/>
          <w:sz w:val="22"/>
          <w:szCs w:val="22"/>
        </w:rPr>
        <w:t xml:space="preserve">MYOB MID-MARKET — INSIGHTS MEMO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			Mission 4 • May 2026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Where to invest, defend, retreat: a risk × opportunity read of the AU mid-market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Combining ABS Counts of Australian Businesses (Jul 2021–Jun 2025) with ASIC Insolvency Statistics 2024–25, segmented to mid-market by both employment (20+ FTE) and turnover ($2m+) lenses. 19 ANZSIC industry divisions, 73,203 mid-market businesses by employment lens / 231,742 by turnover lens, 393 mid-market insolvencies in FY24–25.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DC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4EF"/>
                <w:sz w:val="28"/>
                <w:szCs w:val="28"/>
              </w:rPr>
              <w:t xml:space="preserve">73,203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DC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4EF"/>
                <w:sz w:val="28"/>
                <w:szCs w:val="28"/>
              </w:rPr>
              <w:t xml:space="preserve">231,742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DC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4EF"/>
                <w:sz w:val="28"/>
                <w:szCs w:val="28"/>
              </w:rPr>
              <w:t xml:space="preserve">393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DC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4EF"/>
                <w:sz w:val="28"/>
                <w:szCs w:val="28"/>
              </w:rPr>
              <w:t xml:space="preserve">5.37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DC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Mid-market businesses (20+ FTE)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DC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Mid-market businesses ($2m+ turnover)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DC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Mid-market insolvencies (FY24–25)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DC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Insolvencies per 1,000 mid-market</w:t>
            </w:r>
          </w:p>
        </w:tc>
      </w:tr>
    </w:tbl>
    <w:p>
      <w:pPr>
        <w:spacing w:after="80" w:before="240"/>
        <w:jc w:val="left"/>
      </w:pPr>
      <w:r>
        <w:rPr>
          <w:rFonts w:ascii="Arial" w:cs="Arial" w:eastAsia="Arial" w:hAnsi="Arial"/>
          <w:b/>
          <w:bCs/>
          <w:color w:val="7B14EF"/>
          <w:sz w:val="24"/>
          <w:szCs w:val="24"/>
        </w:rPr>
        <w:t xml:space="preserve">Three insights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Mid-market insolvency has tripled in five years and is now structural, not a COVID-rebound spike. </w:t>
      </w:r>
      <w:r>
        <w:rPr>
          <w:rFonts w:ascii="Arial" w:cs="Arial" w:eastAsia="Arial" w:hAnsi="Arial"/>
          <w:sz w:val="20"/>
          <w:szCs w:val="20"/>
        </w:rPr>
        <w:t xml:space="preserve">Total insolvencies in FY24–25 are 2.5–6× the FY20–21 base across nearly every industry division — Professional Services +565%, Health Care +357%, Manufacturing +284%, Construction +148%. The FY20–21 base was artificially suppressed by JobKeeper and safe-harbour provisions, but the curve since then is steeply upward and shows no sign of reverting. Cash-flow management is no longer a nice-to-have for AU mid-market — it is the price of entry for any ERP value layer.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Health Care &amp; Social Assistance is the standout invest opportunity — and the segment Acumatica has packaged globally that MYOB has not yet packaged for AU. </w:t>
      </w:r>
      <w:r>
        <w:rPr>
          <w:rFonts w:ascii="Arial" w:cs="Arial" w:eastAsia="Arial" w:hAnsi="Arial"/>
          <w:sz w:val="20"/>
          <w:szCs w:val="20"/>
        </w:rPr>
        <w:t xml:space="preserve">It is the fastest-growing mid-market segment (+6.5% YoY), the second-largest by count (7,784 businesses with 20+ FTE), and carries moderate risk (4.5 insolvencies per 1,000). NDIS providers, private aged care operators, allied health groups, and primary care networks are driving the growth. Acumatica's healthcare modules exist; the AU-specific layer (NDIS chart-of-accounts, HICAPS/Medicare billing integration, SCHADS award compliance, multi-site reporting) is the unbuilt opportunity.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The turnover lens reveals 3× more mid-market opportunity than the employment lens — and the gap is concentrated in MYOB's natural strengths. </w:t>
      </w:r>
      <w:r>
        <w:rPr>
          <w:rFonts w:ascii="Arial" w:cs="Arial" w:eastAsia="Arial" w:hAnsi="Arial"/>
          <w:sz w:val="20"/>
          <w:szCs w:val="20"/>
        </w:rPr>
        <w:t xml:space="preserve">Real Estate has 1,952 mid-market businesses by employment but 17,460 by turnover (8.9×); Financial Services 6.9×; Construction 6.1×; Agriculture 6.0×. These are small-team, high-revenue businesses (property syndicates, advisory firms, specialist construction subbies, large family farms) that are genuinely mid-market commercially but invisible to a headcount-based segmentation. There is a likely 40–60k AU business population currently slipping between MYOB Business and MYOB Mid-Market.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7B14EF"/>
          <w:sz w:val="24"/>
          <w:szCs w:val="24"/>
        </w:rPr>
        <w:t xml:space="preserve">Three actions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B14EF"/>
          <w:sz w:val="20"/>
          <w:szCs w:val="20"/>
        </w:rPr>
        <w:t xml:space="preserve">A. Make cash-flow control the #1 horizontal investment for the next 12 months. </w:t>
      </w:r>
      <w:r>
        <w:rPr>
          <w:rFonts w:ascii="Arial" w:cs="Arial" w:eastAsia="Arial" w:hAnsi="Arial"/>
          <w:sz w:val="20"/>
          <w:szCs w:val="20"/>
        </w:rPr>
        <w:t xml:space="preserve">Accelerate AR automation, cash-flow forecasting, and credit-risk-flagging in the MYOB+Acumatica value layer. Target the four highest-volume, highest-rate mid-market segments — Construction (69 insolvencies, 10.6/1k), Admin &amp; Support (58, 10.0/1k), Other Services (33, 21.7/1k), Transport (21, 8.4/1k) — which together account for 181 of the 393 mid-market insolvencies (46%). Brand-fit is exact: MYOB's strength is financial control.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B14EF"/>
          <w:sz w:val="20"/>
          <w:szCs w:val="20"/>
        </w:rPr>
        <w:t xml:space="preserve">B. Stand up an AU Health Care &amp; Social Assistance vertical pack as the next vertical investment. </w:t>
      </w:r>
      <w:r>
        <w:rPr>
          <w:rFonts w:ascii="Arial" w:cs="Arial" w:eastAsia="Arial" w:hAnsi="Arial"/>
          <w:sz w:val="20"/>
          <w:szCs w:val="20"/>
        </w:rPr>
        <w:t xml:space="preserve">Use Acumatica's existing healthcare modules where possible; build the AU-specific compliance and integration layer (NDIS, HICAPS, SCHADS, multi-site/multi-entity). Goal: capture meaningful share of the +6.5% mid-market growth in the next 18 months. This is also the only top-5 strategic-rank segment growing materially — every other large segment is flat or declining.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B14EF"/>
          <w:sz w:val="20"/>
          <w:szCs w:val="20"/>
        </w:rPr>
        <w:t xml:space="preserve">C. Re-segment GTM around turnover bands as well as headcount, prioritising Real Estate, Financial Services, and Construction subbies. </w:t>
      </w:r>
      <w:r>
        <w:rPr>
          <w:rFonts w:ascii="Arial" w:cs="Arial" w:eastAsia="Arial" w:hAnsi="Arial"/>
          <w:sz w:val="20"/>
          <w:szCs w:val="20"/>
        </w:rPr>
        <w:t xml:space="preserve">Run a discovery sprint with channel partners over Q3 to identify the small-team, high-revenue businesses currently sitting in the gap between MYOB Business and MYOB Mid-Market. Even capturing 10% of the estimated 40–60k addressable population would meaningfully grow the customer base. Counter-insight: deprioritise hospitality vertical investment — Accommodation &amp; Food Services is the largest mid-market segment (10,353) but contracting fastest (–5.1% YoY) with low risk, suggesting consolidation/exit rather than failure. Serve, don't over-invest.</w:t>
      </w:r>
    </w:p>
    <w:p>
      <w:pPr>
        <w:pBdr>
          <w:top w:val="single" w:color="7B14EF" w:sz="8" w:space="4"/>
        </w:pBdr>
        <w:spacing w:before="240"/>
      </w:pPr>
      <w:r>
        <w:rPr>
          <w:rFonts w:ascii="Arial" w:cs="Arial" w:eastAsia="Arial" w:hAnsi="Arial"/>
          <w:b/>
          <w:bCs/>
          <w:color w:val="7B14EF"/>
          <w:sz w:val="14"/>
          <w:szCs w:val="14"/>
        </w:rPr>
        <w:t xml:space="preserve">Sources: </w:t>
      </w:r>
      <w:r>
        <w:rPr>
          <w:rFonts w:ascii="Arial" w:cs="Arial" w:eastAsia="Arial" w:hAnsi="Arial"/>
          <w:color w:val="555555"/>
          <w:sz w:val="14"/>
          <w:szCs w:val="14"/>
        </w:rPr>
        <w:t xml:space="preserve">ABS 8165.0 Counts of Australian Businesses, including Entries and Exits (Jul 2021–Jun 2025), Data Cubes 2 &amp; 3. ASIC Insolvency Statistics Series 3.1 &amp; 3.3 (released Dec 2025). Mid-market defined as 20–199 + 200+ employees (employment lens) and $2m–$10m+ turnover (turnover lens, capped by ABS top band). Cleaned dataset, methodology, and supporting visualisations in companion files. Caveats: ASIC "Not known" FTE bucket excluded (32% of all reports); ABS perturbation may shift small-segment values ±10%; FY20–21 baseline is artificially suppressed.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2026-04-30T15:14:32.062Z</dcterms:created>
  <dcterms:modified xsi:type="dcterms:W3CDTF">2026-04-30T15:14:32.063Z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