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10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4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(рис. -fig. 1).</w:t>
      </w:r>
    </w:p>
    <w:p>
      <w:pPr>
        <w:pStyle w:val="CaptionedFigure"/>
      </w:pPr>
      <w:bookmarkStart w:id="26" w:name="fig:001"/>
      <w:r>
        <w:drawing>
          <wp:inline>
            <wp:extent cx="5334000" cy="962403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-fig. 2).</w:t>
      </w:r>
    </w:p>
    <w:p>
      <w:pPr>
        <w:pStyle w:val="CaptionedFigure"/>
      </w:pPr>
      <w:bookmarkStart w:id="30" w:name="fig:002"/>
      <w:r>
        <w:drawing>
          <wp:inline>
            <wp:extent cx="5334000" cy="1223394"/>
            <wp:effectExtent b="0" l="0" r="0" t="0"/>
            <wp:docPr descr="Рис. 2: Запуск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программы из листинга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(рис. -fig. 3).</w:t>
      </w:r>
    </w:p>
    <w:p>
      <w:pPr>
        <w:pStyle w:val="CaptionedFigure"/>
      </w:pPr>
      <w:bookmarkStart w:id="34" w:name="fig:003"/>
      <w:r>
        <w:drawing>
          <wp:inline>
            <wp:extent cx="5334000" cy="1223394"/>
            <wp:effectExtent b="0" l="0" r="0" t="0"/>
            <wp:docPr descr="Рис. 3: Изменение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Изменение программы первого листинга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55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-fig. 4).</w:t>
      </w:r>
    </w:p>
    <w:p>
      <w:pPr>
        <w:pStyle w:val="CaptionedFigure"/>
      </w:pPr>
      <w:bookmarkStart w:id="38" w:name="fig:004"/>
      <w:r>
        <w:drawing>
          <wp:inline>
            <wp:extent cx="5334000" cy="3458128"/>
            <wp:effectExtent b="0" l="0" r="0" t="0"/>
            <wp:docPr descr="Рис. 4: Запуск программы в отладчик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убедился в том, что она работает исправно (рис. -fig. 5).</w:t>
      </w:r>
    </w:p>
    <w:p>
      <w:pPr>
        <w:pStyle w:val="CaptionedFigure"/>
      </w:pPr>
      <w:bookmarkStart w:id="42" w:name="fig:005"/>
      <w:r>
        <w:drawing>
          <wp:inline>
            <wp:extent cx="5334000" cy="3256008"/>
            <wp:effectExtent b="0" l="0" r="0" t="0"/>
            <wp:docPr descr="Рис. 5: Проверка программы отладчико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программы отладчиком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-fig. 6).</w:t>
      </w:r>
    </w:p>
    <w:p>
      <w:pPr>
        <w:pStyle w:val="CaptionedFigure"/>
      </w:pPr>
      <w:bookmarkStart w:id="46" w:name="fig:006"/>
      <w:r>
        <w:drawing>
          <wp:inline>
            <wp:extent cx="5334000" cy="741589"/>
            <wp:effectExtent b="0" l="0" r="0" t="0"/>
            <wp:docPr descr="Рис. 6: Запуск отладичка с брейкпоинтом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Cs/>
          <w:i/>
        </w:rPr>
        <w:t xml:space="preserve">амд топчик</w:t>
      </w:r>
      <w:r>
        <w:t xml:space="preserve"> </w:t>
      </w:r>
      <w:r>
        <w:t xml:space="preserve">(рис. -fig. 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bookmarkStart w:id="50" w:name="fig:007"/>
      <w:r>
        <w:drawing>
          <wp:inline>
            <wp:extent cx="5334000" cy="3674218"/>
            <wp:effectExtent b="0" l="0" r="0" t="0"/>
            <wp:docPr descr="Рис. 7: Дисассимилирова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-fig. 8).</w:t>
      </w:r>
    </w:p>
    <w:p>
      <w:pPr>
        <w:pStyle w:val="CaptionedFigure"/>
      </w:pPr>
      <w:bookmarkStart w:id="54" w:name="fig:008"/>
      <w:r>
        <w:drawing>
          <wp:inline>
            <wp:extent cx="5334000" cy="3674218"/>
            <wp:effectExtent b="0" l="0" r="0" t="0"/>
            <wp:docPr descr="Рис. 8: Режим псевдографик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Режим псевдографики</w:t>
      </w:r>
    </w:p>
    <w:bookmarkEnd w:id="55"/>
    <w:bookmarkStart w:id="63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 (рис. -fig. 9).</w:t>
      </w:r>
    </w:p>
    <w:p>
      <w:pPr>
        <w:pStyle w:val="CaptionedFigure"/>
      </w:pPr>
      <w:bookmarkStart w:id="59" w:name="fig:009"/>
      <w:r>
        <w:drawing>
          <wp:inline>
            <wp:extent cx="5334000" cy="3674218"/>
            <wp:effectExtent b="0" l="0" r="0" t="0"/>
            <wp:docPr descr="Рис. 9: Список брейкпоинтов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 (рис. -fig. 10).</w:t>
      </w:r>
    </w:p>
    <w:p>
      <w:pPr>
        <w:pStyle w:val="CaptionedFigure"/>
      </w:pPr>
      <w:bookmarkStart w:id="62" w:name="fig:010"/>
      <w:r>
        <w:drawing>
          <wp:inline>
            <wp:extent cx="5334000" cy="3674218"/>
            <wp:effectExtent b="0" l="0" r="0" t="0"/>
            <wp:docPr descr="Рис. 10: Добавление второй точки останов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Добавление второй точки останова</w:t>
      </w:r>
    </w:p>
    <w:bookmarkEnd w:id="63"/>
    <w:bookmarkStart w:id="84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-fig. 11).</w:t>
      </w:r>
    </w:p>
    <w:p>
      <w:pPr>
        <w:pStyle w:val="CaptionedFigure"/>
      </w:pPr>
      <w:bookmarkStart w:id="67" w:name="fig:011"/>
      <w:r>
        <w:drawing>
          <wp:inline>
            <wp:extent cx="5334000" cy="3674218"/>
            <wp:effectExtent b="0" l="0" r="0" t="0"/>
            <wp:docPr descr="Рис. 11: Просмотр содержимого регистр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-fig. 12).</w:t>
      </w:r>
    </w:p>
    <w:p>
      <w:pPr>
        <w:pStyle w:val="CaptionedFigure"/>
      </w:pPr>
      <w:bookmarkStart w:id="71" w:name="fig:012"/>
      <w:r>
        <w:drawing>
          <wp:inline>
            <wp:extent cx="5334000" cy="3674218"/>
            <wp:effectExtent b="0" l="0" r="0" t="0"/>
            <wp:docPr descr="Рис. 12: Просмотр содержимого переменных двумя способ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 (рис. -fig. 13).</w:t>
      </w:r>
    </w:p>
    <w:p>
      <w:pPr>
        <w:pStyle w:val="CaptionedFigure"/>
      </w:pPr>
      <w:bookmarkStart w:id="75" w:name="fig:013"/>
      <w:r>
        <w:drawing>
          <wp:inline>
            <wp:extent cx="5334000" cy="3877981"/>
            <wp:effectExtent b="0" l="0" r="0" t="0"/>
            <wp:docPr descr="Рис. 13: Изменение содержимого переменных двумя способ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 (рис. -fig. 14).</w:t>
      </w:r>
    </w:p>
    <w:p>
      <w:pPr>
        <w:pStyle w:val="CaptionedFigure"/>
      </w:pPr>
      <w:bookmarkStart w:id="79" w:name="fig:014"/>
      <w:r>
        <w:drawing>
          <wp:inline>
            <wp:extent cx="5334000" cy="3877981"/>
            <wp:effectExtent b="0" l="0" r="0" t="0"/>
            <wp:docPr descr="Рис. 14: Просмотр значения регистра разными представления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-fig. 15).</w:t>
      </w:r>
    </w:p>
    <w:p>
      <w:pPr>
        <w:pStyle w:val="CaptionedFigure"/>
      </w:pPr>
      <w:bookmarkStart w:id="83" w:name="fig:015"/>
      <w:r>
        <w:drawing>
          <wp:inline>
            <wp:extent cx="5334000" cy="3877981"/>
            <wp:effectExtent b="0" l="0" r="0" t="0"/>
            <wp:docPr descr="Рис. 15: Примеры использования команды set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Примеры использования команды set</w:t>
      </w:r>
    </w:p>
    <w:bookmarkEnd w:id="84"/>
    <w:bookmarkStart w:id="93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-fig. 16).</w:t>
      </w:r>
    </w:p>
    <w:p>
      <w:pPr>
        <w:pStyle w:val="CaptionedFigure"/>
      </w:pPr>
      <w:bookmarkStart w:id="88" w:name="fig:016"/>
      <w:r>
        <w:drawing>
          <wp:inline>
            <wp:extent cx="5334000" cy="510702"/>
            <wp:effectExtent b="0" l="0" r="0" t="0"/>
            <wp:docPr descr="Рис. 16: Подготовка нов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 (рис. -fig. 17).</w:t>
      </w:r>
    </w:p>
    <w:p>
      <w:pPr>
        <w:pStyle w:val="CaptionedFigure"/>
      </w:pPr>
      <w:bookmarkStart w:id="92" w:name="fig:017"/>
      <w:r>
        <w:drawing>
          <wp:inline>
            <wp:extent cx="5334000" cy="3899825"/>
            <wp:effectExtent b="0" l="0" r="0" t="0"/>
            <wp:docPr descr="Рис. 17: Проверка работы стек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Проверка работы стека</w:t>
      </w:r>
    </w:p>
    <w:bookmarkEnd w:id="93"/>
    <w:bookmarkEnd w:id="94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 (рис. -fig. 18).</w:t>
      </w:r>
    </w:p>
    <w:p>
      <w:pPr>
        <w:pStyle w:val="CaptionedFigure"/>
      </w:pPr>
      <w:bookmarkStart w:id="98" w:name="fig:018"/>
      <w:r>
        <w:drawing>
          <wp:inline>
            <wp:extent cx="5334000" cy="4620587"/>
            <wp:effectExtent b="0" l="0" r="0" t="0"/>
            <wp:docPr descr="Рис. 18: Измененная программа предыдущей лабораторной работы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(рис. -fig. 19).</w:t>
      </w:r>
    </w:p>
    <w:p>
      <w:pPr>
        <w:pStyle w:val="CaptionedFigure"/>
      </w:pPr>
      <w:bookmarkStart w:id="102" w:name="fig:019"/>
      <w:r>
        <w:drawing>
          <wp:inline>
            <wp:extent cx="5334000" cy="3869064"/>
            <wp:effectExtent b="0" l="0" r="0" t="0"/>
            <wp:docPr descr="Рис. 19: Поиск ошибки в программе через пошаговую отладку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-fig. 20).</w:t>
      </w:r>
    </w:p>
    <w:p>
      <w:pPr>
        <w:pStyle w:val="CaptionedFigure"/>
      </w:pPr>
      <w:bookmarkStart w:id="106" w:name="fig:020"/>
      <w:r>
        <w:drawing>
          <wp:inline>
            <wp:extent cx="5334000" cy="1191638"/>
            <wp:effectExtent b="0" l="0" r="0" t="0"/>
            <wp:docPr descr="Рис. 20: Проверка корректировок в программме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109"/>
    <w:bookmarkStart w:id="11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1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111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11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110" Target="https://esystem.rudn.ru/course/view.php?id=112" TargetMode="External" /><Relationship Type="http://schemas.openxmlformats.org/officeDocument/2006/relationships/hyperlink" Id="rId11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11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esystem.rudn.ru/course/view.php?id=112" TargetMode="External" /><Relationship Type="http://schemas.openxmlformats.org/officeDocument/2006/relationships/hyperlink" Id="rId11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11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Джеймс НКАбд-05-24</dc:creator>
  <dc:language>ru-RU</dc:language>
  <cp:keywords/>
  <dcterms:created xsi:type="dcterms:W3CDTF">2024-12-13T01:36:53Z</dcterms:created>
  <dcterms:modified xsi:type="dcterms:W3CDTF">2024-12-13T01:36:53Z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