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7280"/>
          <w:sz w:val="16"/>
        </w:rPr>
        <w:t>TEMPLATE T14  ·  PROJECT MANAGER IN A BOX</w:t>
      </w:r>
    </w:p>
    <w:p>
      <w:pPr>
        <w:pStyle w:val="Heading1"/>
      </w:pPr>
      <w:r>
        <w:t>Statement of Work (SOW)</w:t>
      </w:r>
    </w:p>
    <w:p>
      <w:r>
        <w:rPr>
          <w:i/>
          <w:color w:val="6B7280"/>
        </w:rPr>
        <w:t>Describes the work a vendor will perform, its deliverables, timeline, acceptance and payment terms.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EF3F8"/>
          </w:tcPr>
          <w:p>
            <w:r/>
            <w:r>
              <w:rPr>
                <w:b/>
                <w:i w:val="0"/>
                <w:color w:val="1F3A5F"/>
                <w:sz w:val="20"/>
              </w:rPr>
              <w:t>How to use this template</w:t>
            </w:r>
          </w:p>
          <w:p>
            <w:r>
              <w:rPr>
                <w:sz w:val="18"/>
              </w:rPr>
              <w:t>1. Write deliverables as outcomes with acceptance criteria, not as hours of effort.</w:t>
            </w:r>
          </w:p>
          <w:p>
            <w:r>
              <w:rPr>
                <w:sz w:val="18"/>
              </w:rPr>
              <w:t>2. Tie payments to accepted deliverables or milestones wherever possible.</w:t>
            </w:r>
          </w:p>
          <w:p>
            <w:r>
              <w:rPr>
                <w:sz w:val="18"/>
              </w:rPr>
              <w:t>3. Include requirements for security, data handling and confidentiality.</w:t>
            </w:r>
          </w:p>
          <w:p>
            <w:r>
              <w:rPr>
                <w:sz w:val="18"/>
              </w:rPr>
              <w:t>4. Have Procurement and Legal review it before it goes to vendors.</w:t>
            </w:r>
          </w:p>
          <w:p>
            <w:r>
              <w:rPr>
                <w:i/>
                <w:color w:val="6B7280"/>
                <w:sz w:val="17"/>
              </w:rPr>
              <w:t>Used in: Step 2.9 – Plan sourcing and procurement; Step 3.6 – Manage vendors and contracts</w:t>
            </w:r>
          </w:p>
          <w:p>
            <w:r>
              <w:rPr>
                <w:color w:val="6B7280"/>
                <w:sz w:val="16"/>
              </w:rPr>
              <w:t>Delete this box before you share the document.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SOW title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Buyer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Vendor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Contract / PO reference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Effective dates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1. Background and objectives</w:t>
      </w:r>
    </w:p>
    <w:p>
      <w:r>
        <w:rPr>
          <w:i/>
          <w:color w:val="6B7280"/>
          <w:sz w:val="19"/>
        </w:rPr>
        <w:t>[Why this work is needed and the outcome expected from the vendor.]</w:t>
      </w:r>
    </w:p>
    <w:p>
      <w:pPr>
        <w:pStyle w:val="Heading2"/>
      </w:pPr>
      <w:r>
        <w:t>2. Scope of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In scope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Out of scope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61"/>
        </w:trPr>
        <w:tc>
          <w:tcPr>
            <w:tcW w:type="dxa" w:w="3312"/>
            <w:shd w:val="clear" w:color="auto" w:fill="F3F4F6"/>
          </w:tcPr>
          <w:p>
            <w:r/>
            <w:r>
              <w:rPr>
                <w:b/>
                <w:i w:val="0"/>
                <w:sz w:val="19"/>
              </w:rPr>
              <w:t>Location / remote</w:t>
            </w:r>
          </w:p>
        </w:tc>
        <w:tc>
          <w:tcPr>
            <w:tcW w:type="dxa" w:w="633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3. Deliverables, acceptance and payment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Deliverable / milestone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Acceptance criteria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Due date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Payment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4.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Responsibility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Buyer</w:t>
            </w:r>
          </w:p>
        </w:tc>
        <w:tc>
          <w:tcPr>
            <w:tcW w:type="dxa" w:w="3216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Vendor</w:t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Project management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Requirements sign-off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Environments / access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Testing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  <w:t>Training</w:t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3216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p>
      <w:pPr>
        <w:pStyle w:val="Heading2"/>
      </w:pPr>
      <w:r>
        <w:t>5. Security, privacy and data handling</w:t>
      </w:r>
    </w:p>
    <w:p>
      <w:pPr>
        <w:spacing w:after="40"/>
      </w:pPr>
      <w:r>
        <w:rPr>
          <w:sz w:val="20"/>
        </w:rPr>
        <w:t>☐  Vendor security assurance reviewed (e.g., SOC 2 Type II / ISO 27001)</w:t>
      </w:r>
    </w:p>
    <w:p>
      <w:pPr>
        <w:spacing w:after="40"/>
      </w:pPr>
      <w:r>
        <w:rPr>
          <w:sz w:val="20"/>
        </w:rPr>
        <w:t>☐  Data processing agreement signed</w:t>
      </w:r>
    </w:p>
    <w:p>
      <w:pPr>
        <w:spacing w:after="40"/>
      </w:pPr>
      <w:r>
        <w:rPr>
          <w:sz w:val="20"/>
        </w:rPr>
        <w:t>☐  Least-privilege, time-limited access</w:t>
      </w:r>
    </w:p>
    <w:p>
      <w:pPr>
        <w:spacing w:after="40"/>
      </w:pPr>
      <w:r>
        <w:rPr>
          <w:sz w:val="20"/>
        </w:rPr>
        <w:t>☐  Data location / residency agreed</w:t>
      </w:r>
    </w:p>
    <w:p>
      <w:pPr>
        <w:spacing w:after="40"/>
      </w:pPr>
      <w:r>
        <w:rPr>
          <w:sz w:val="20"/>
        </w:rPr>
        <w:t>☐  Breach notification within agreed hours</w:t>
      </w:r>
    </w:p>
    <w:p>
      <w:pPr>
        <w:spacing w:after="40"/>
      </w:pPr>
      <w:r>
        <w:rPr>
          <w:sz w:val="20"/>
        </w:rPr>
        <w:t>☐  Return or destruction of data at exit</w:t>
      </w:r>
    </w:p>
    <w:p/>
    <w:p>
      <w:pPr>
        <w:pStyle w:val="Heading2"/>
      </w:pPr>
      <w:r>
        <w:t>6. Service levels and reporting</w:t>
      </w:r>
    </w:p>
    <w:p>
      <w:r>
        <w:rPr>
          <w:i/>
          <w:color w:val="6B7280"/>
          <w:sz w:val="19"/>
        </w:rPr>
        <w:t>[Status reporting cadence, SLAs, escalation contacts.]</w:t>
      </w:r>
    </w:p>
    <w:p>
      <w:pPr>
        <w:pStyle w:val="Heading2"/>
      </w:pPr>
      <w:r>
        <w:t>7. Change control</w:t>
      </w:r>
    </w:p>
    <w:p>
      <w:r>
        <w:rPr>
          <w:i/>
          <w:color w:val="6B7280"/>
          <w:sz w:val="19"/>
        </w:rPr>
        <w:t>[How scope changes are requested, priced and approved.]</w:t>
      </w:r>
    </w:p>
    <w:p>
      <w:pPr>
        <w:pStyle w:val="Heading2"/>
      </w:pPr>
      <w:r>
        <w:t>8.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Party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Name / title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12"/>
            <w:shd w:val="clear" w:color="auto" w:fill="1F3A5F"/>
          </w:tcPr>
          <w:p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Buyer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  <w:tr>
        <w:trPr>
          <w:trHeight w:val="432"/>
        </w:trPr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  <w:t>Vendor</w:t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  <w:tc>
          <w:tcPr>
            <w:tcW w:type="dxa" w:w="2412"/>
          </w:tcPr>
          <w:p>
            <w:r/>
            <w:r>
              <w:rPr>
                <w:b w:val="0"/>
                <w:i w:val="0"/>
                <w:sz w:val="19"/>
              </w:rPr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B7280"/>
        <w:sz w:val="15"/>
      </w:rPr>
      <w:t xml:space="preserve">“Project Manager in a Box” by James Pearson, licensed under CC BY-NC-SA 4.0 (https://creativecommons.org/licenses/by-nc-sa/4.0/).  Version 0.1 (prototype), October 2026. Latest version: </w:t>
    </w:r>
    <w:hyperlink r:id="rId1">
      <w:r>
        <w:rPr>
          <w:rStyle w:val="Hyperlink"/>
          <w:color w:val="0563C1"/>
          <w:u w:val="single"/>
          <w:sz w:val="15"/>
        </w:rPr>
        <w:t>github.com/james-s-pearson/Cybersecurity-Portfolio/tree/main/project-manager-in-a-box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github.com/james-s-pearson/Cybersecurity-Portfolio/tree/main/project-manager-in-a-bo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Work (SOW)</dc:title>
  <dc:subject/>
  <dc:creator>James Pearson</dc:creator>
  <cp:keywords/>
  <dc:description/>
  <cp:lastModifiedBy/>
  <cp:revision>1</cp:revision>
  <dcterms:created xsi:type="dcterms:W3CDTF">2026-10-28T00:53:20Z</dcterms:created>
  <dcterms:modified xsi:type="dcterms:W3CDTF">2026-10-28T00:53:20Z</dcterms:modified>
  <cp:category/>
</cp:coreProperties>
</file>