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7280"/>
          <w:sz w:val="16"/>
        </w:rPr>
        <w:t>EXAMPLE T02  ·  PROJECT MANAGER IN A BOX</w:t>
      </w:r>
    </w:p>
    <w:p>
      <w:pPr>
        <w:pStyle w:val="Heading1"/>
      </w:pPr>
      <w:r>
        <w:t>Project Charter</w:t>
      </w:r>
    </w:p>
    <w:p>
      <w:r>
        <w:rPr>
          <w:i/>
          <w:color w:val="6B7280"/>
        </w:rPr>
        <w:t>Formally authorizes the project and gives the PM authority to use organizational resources.</w:t>
      </w:r>
    </w:p>
    <w:tbl>
      <w:tblPr>
        <w:tblW w:type="auto" w:w="0"/>
        <w:tblLayout w:type="autofit"/>
        <w:tblLook w:firstColumn="1" w:firstRow="1" w:lastColumn="0" w:lastRow="0" w:noHBand="0" w:noVBand="1" w:val="04A0"/>
      </w:tblPr>
      <w:tblGrid>
        <w:gridCol w:w="9648"/>
      </w:tblGrid>
      <w:tr>
        <w:tc>
          <w:tcPr>
            <w:tcW w:type="dxa" w:w="9648"/>
            <w:shd w:val="clear" w:color="auto" w:fill="FFF7E0"/>
          </w:tcPr>
          <w:p>
            <w:r/>
            <w:r>
              <w:rPr>
                <w:b/>
                <w:i w:val="0"/>
                <w:color w:val="1F3A5F"/>
                <w:sz w:val="19"/>
              </w:rPr>
              <w:t>Example based on the fictional Project Beacon. Names, figures and outcomes are invented for illustration.</w:t>
            </w:r>
          </w:p>
          <w:p>
            <w:r>
              <w:rPr>
                <w:i/>
                <w:color w:val="6B7280"/>
                <w:sz w:val="17"/>
              </w:rPr>
              <w:t>This is a filled-in example of template T02. Use the blank template to start your own.</w:t>
            </w:r>
          </w:p>
        </w:tc>
      </w:tr>
    </w:tbl>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Project name</w:t>
            </w:r>
          </w:p>
        </w:tc>
        <w:tc>
          <w:tcPr>
            <w:tcW w:type="dxa" w:w="6336"/>
          </w:tcPr>
          <w:p>
            <w:r/>
            <w:r>
              <w:rPr>
                <w:b w:val="0"/>
                <w:i w:val="0"/>
                <w:sz w:val="19"/>
              </w:rPr>
              <w:t>Project Beacon – Volunteer &amp; Donor Portal</w:t>
            </w:r>
          </w:p>
        </w:tc>
      </w:tr>
      <w:tr>
        <w:trPr>
          <w:trHeight w:val="461"/>
        </w:trPr>
        <w:tc>
          <w:tcPr>
            <w:tcW w:type="dxa" w:w="3312"/>
            <w:shd w:val="clear" w:color="auto" w:fill="F3F4F6"/>
          </w:tcPr>
          <w:p>
            <w:r/>
            <w:r>
              <w:rPr>
                <w:b/>
                <w:i w:val="0"/>
                <w:sz w:val="19"/>
              </w:rPr>
              <w:t>Project ID</w:t>
            </w:r>
          </w:p>
        </w:tc>
        <w:tc>
          <w:tcPr>
            <w:tcW w:type="dxa" w:w="6336"/>
          </w:tcPr>
          <w:p>
            <w:r/>
            <w:r>
              <w:rPr>
                <w:b w:val="0"/>
                <w:i w:val="0"/>
                <w:sz w:val="19"/>
              </w:rPr>
              <w:t>PB-2026-01</w:t>
            </w:r>
          </w:p>
        </w:tc>
      </w:tr>
      <w:tr>
        <w:trPr>
          <w:trHeight w:val="461"/>
        </w:trPr>
        <w:tc>
          <w:tcPr>
            <w:tcW w:type="dxa" w:w="3312"/>
            <w:shd w:val="clear" w:color="auto" w:fill="F3F4F6"/>
          </w:tcPr>
          <w:p>
            <w:r/>
            <w:r>
              <w:rPr>
                <w:b/>
                <w:i w:val="0"/>
                <w:sz w:val="19"/>
              </w:rPr>
              <w:t>Sponsor</w:t>
            </w:r>
          </w:p>
        </w:tc>
        <w:tc>
          <w:tcPr>
            <w:tcW w:type="dxa" w:w="6336"/>
          </w:tcPr>
          <w:p>
            <w:r/>
            <w:r>
              <w:rPr>
                <w:b w:val="0"/>
                <w:i w:val="0"/>
                <w:sz w:val="19"/>
              </w:rPr>
              <w:t>Dana Ruiz, Executive Director</w:t>
            </w:r>
          </w:p>
        </w:tc>
      </w:tr>
      <w:tr>
        <w:trPr>
          <w:trHeight w:val="461"/>
        </w:trPr>
        <w:tc>
          <w:tcPr>
            <w:tcW w:type="dxa" w:w="3312"/>
            <w:shd w:val="clear" w:color="auto" w:fill="F3F4F6"/>
          </w:tcPr>
          <w:p>
            <w:r/>
            <w:r>
              <w:rPr>
                <w:b/>
                <w:i w:val="0"/>
                <w:sz w:val="19"/>
              </w:rPr>
              <w:t>Project manager</w:t>
            </w:r>
          </w:p>
        </w:tc>
        <w:tc>
          <w:tcPr>
            <w:tcW w:type="dxa" w:w="6336"/>
          </w:tcPr>
          <w:p>
            <w:r/>
            <w:r>
              <w:rPr>
                <w:b w:val="0"/>
                <w:i w:val="0"/>
                <w:sz w:val="19"/>
              </w:rPr>
              <w:t>Marcus Lee</w:t>
            </w:r>
          </w:p>
        </w:tc>
      </w:tr>
      <w:tr>
        <w:trPr>
          <w:trHeight w:val="461"/>
        </w:trPr>
        <w:tc>
          <w:tcPr>
            <w:tcW w:type="dxa" w:w="3312"/>
            <w:shd w:val="clear" w:color="auto" w:fill="F3F4F6"/>
          </w:tcPr>
          <w:p>
            <w:r/>
            <w:r>
              <w:rPr>
                <w:b/>
                <w:i w:val="0"/>
                <w:sz w:val="19"/>
              </w:rPr>
              <w:t>Product owner / business owner</w:t>
            </w:r>
          </w:p>
        </w:tc>
        <w:tc>
          <w:tcPr>
            <w:tcW w:type="dxa" w:w="6336"/>
          </w:tcPr>
          <w:p>
            <w:r/>
            <w:r>
              <w:rPr>
                <w:b w:val="0"/>
                <w:i w:val="0"/>
                <w:sz w:val="19"/>
              </w:rPr>
              <w:t>Priya Shah, Volunteer Programs Manager</w:t>
            </w:r>
          </w:p>
        </w:tc>
      </w:tr>
      <w:tr>
        <w:trPr>
          <w:trHeight w:val="461"/>
        </w:trPr>
        <w:tc>
          <w:tcPr>
            <w:tcW w:type="dxa" w:w="3312"/>
            <w:shd w:val="clear" w:color="auto" w:fill="F3F4F6"/>
          </w:tcPr>
          <w:p>
            <w:r/>
            <w:r>
              <w:rPr>
                <w:b/>
                <w:i w:val="0"/>
                <w:sz w:val="19"/>
              </w:rPr>
              <w:t>Version / date</w:t>
            </w:r>
          </w:p>
        </w:tc>
        <w:tc>
          <w:tcPr>
            <w:tcW w:type="dxa" w:w="6336"/>
          </w:tcPr>
          <w:p>
            <w:r/>
            <w:r>
              <w:rPr>
                <w:b w:val="0"/>
                <w:i w:val="0"/>
                <w:sz w:val="19"/>
              </w:rPr>
              <w:t>v1.0, January 9, 2026</w:t>
            </w:r>
          </w:p>
        </w:tc>
      </w:tr>
    </w:tbl>
    <w:p/>
    <w:p>
      <w:pPr>
        <w:pStyle w:val="Heading2"/>
      </w:pPr>
      <w:r>
        <w:t>1. Project summary</w:t>
      </w:r>
    </w:p>
    <w:p>
      <w:r>
        <w:rPr>
          <w:sz w:val="20"/>
        </w:rPr>
        <w:t>Northside Food Collective runs volunteer shifts and recurring gifts on spreadsheets and paper forms. Staff spend about 22 hours a week on scheduling, volunteer records are duplicated or incomplete, and donors cannot manage their own gifts. Project Beacon will replace these with a secure online portal connected to the existing donor CRM, so volunteers and donors manage their own participation and staff time moves to supporting them. The business case estimates a saving of about 14 staff hours a week (decision DEC-001).</w:t>
      </w:r>
    </w:p>
    <w:p>
      <w:pPr>
        <w:pStyle w:val="Heading2"/>
      </w:pPr>
      <w:r>
        <w:t>2. Goals and success criteria</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A5F"/>
          </w:tcPr>
          <w:p>
            <w:r/>
            <w:r>
              <w:rPr>
                <w:b/>
                <w:i w:val="0"/>
                <w:color w:val="FFFFFF"/>
                <w:sz w:val="19"/>
              </w:rPr>
              <w:t>Goal / measure</w:t>
            </w:r>
          </w:p>
        </w:tc>
        <w:tc>
          <w:tcPr>
            <w:tcW w:type="dxa" w:w="2412"/>
            <w:shd w:val="clear" w:color="auto" w:fill="1F3A5F"/>
          </w:tcPr>
          <w:p>
            <w:r/>
            <w:r>
              <w:rPr>
                <w:b/>
                <w:i w:val="0"/>
                <w:color w:val="FFFFFF"/>
                <w:sz w:val="19"/>
              </w:rPr>
              <w:t>Baseline</w:t>
            </w:r>
          </w:p>
        </w:tc>
        <w:tc>
          <w:tcPr>
            <w:tcW w:type="dxa" w:w="2412"/>
            <w:shd w:val="clear" w:color="auto" w:fill="1F3A5F"/>
          </w:tcPr>
          <w:p>
            <w:r/>
            <w:r>
              <w:rPr>
                <w:b/>
                <w:i w:val="0"/>
                <w:color w:val="FFFFFF"/>
                <w:sz w:val="19"/>
              </w:rPr>
              <w:t>Target</w:t>
            </w:r>
          </w:p>
        </w:tc>
        <w:tc>
          <w:tcPr>
            <w:tcW w:type="dxa" w:w="2412"/>
            <w:shd w:val="clear" w:color="auto" w:fill="1F3A5F"/>
          </w:tcPr>
          <w:p>
            <w:r/>
            <w:r>
              <w:rPr>
                <w:b/>
                <w:i w:val="0"/>
                <w:color w:val="FFFFFF"/>
                <w:sz w:val="19"/>
              </w:rPr>
              <w:t>Measured by / when</w:t>
            </w:r>
          </w:p>
        </w:tc>
      </w:tr>
      <w:tr>
        <w:trPr>
          <w:trHeight w:val="432"/>
        </w:trPr>
        <w:tc>
          <w:tcPr>
            <w:tcW w:type="dxa" w:w="2412"/>
          </w:tcPr>
          <w:p>
            <w:r/>
            <w:r>
              <w:rPr>
                <w:b w:val="0"/>
                <w:i w:val="0"/>
                <w:sz w:val="19"/>
              </w:rPr>
              <w:t>Volunteer shifts booked online</w:t>
            </w:r>
          </w:p>
        </w:tc>
        <w:tc>
          <w:tcPr>
            <w:tcW w:type="dxa" w:w="2412"/>
          </w:tcPr>
          <w:p>
            <w:r/>
            <w:r>
              <w:rPr>
                <w:b w:val="0"/>
                <w:i w:val="0"/>
                <w:sz w:val="19"/>
              </w:rPr>
              <w:t>0%</w:t>
            </w:r>
          </w:p>
        </w:tc>
        <w:tc>
          <w:tcPr>
            <w:tcW w:type="dxa" w:w="2412"/>
          </w:tcPr>
          <w:p>
            <w:r/>
            <w:r>
              <w:rPr>
                <w:b w:val="0"/>
                <w:i w:val="0"/>
                <w:sz w:val="19"/>
              </w:rPr>
              <w:t>80% of shifts</w:t>
            </w:r>
          </w:p>
        </w:tc>
        <w:tc>
          <w:tcPr>
            <w:tcW w:type="dxa" w:w="2412"/>
          </w:tcPr>
          <w:p>
            <w:r/>
            <w:r>
              <w:rPr>
                <w:b w:val="0"/>
                <w:i w:val="0"/>
                <w:sz w:val="19"/>
              </w:rPr>
              <w:t>Portal reports</w:t>
            </w:r>
          </w:p>
        </w:tc>
      </w:tr>
      <w:tr>
        <w:trPr>
          <w:trHeight w:val="432"/>
        </w:trPr>
        <w:tc>
          <w:tcPr>
            <w:tcW w:type="dxa" w:w="2412"/>
          </w:tcPr>
          <w:p>
            <w:r/>
            <w:r>
              <w:rPr>
                <w:b w:val="0"/>
                <w:i w:val="0"/>
                <w:sz w:val="19"/>
              </w:rPr>
              <w:t>Staff hours spent on scheduling</w:t>
            </w:r>
          </w:p>
        </w:tc>
        <w:tc>
          <w:tcPr>
            <w:tcW w:type="dxa" w:w="2412"/>
          </w:tcPr>
          <w:p>
            <w:r/>
            <w:r>
              <w:rPr>
                <w:b w:val="0"/>
                <w:i w:val="0"/>
                <w:sz w:val="19"/>
              </w:rPr>
              <w:t>22 hrs/week</w:t>
            </w:r>
          </w:p>
        </w:tc>
        <w:tc>
          <w:tcPr>
            <w:tcW w:type="dxa" w:w="2412"/>
          </w:tcPr>
          <w:p>
            <w:r/>
            <w:r>
              <w:rPr>
                <w:b w:val="0"/>
                <w:i w:val="0"/>
                <w:sz w:val="19"/>
              </w:rPr>
              <w:t>8 hrs/week or less</w:t>
            </w:r>
          </w:p>
        </w:tc>
        <w:tc>
          <w:tcPr>
            <w:tcW w:type="dxa" w:w="2412"/>
          </w:tcPr>
          <w:p>
            <w:r/>
            <w:r>
              <w:rPr>
                <w:b w:val="0"/>
                <w:i w:val="0"/>
                <w:sz w:val="19"/>
              </w:rPr>
              <w:t>Time study</w:t>
            </w:r>
          </w:p>
        </w:tc>
      </w:tr>
      <w:tr>
        <w:trPr>
          <w:trHeight w:val="432"/>
        </w:trPr>
        <w:tc>
          <w:tcPr>
            <w:tcW w:type="dxa" w:w="2412"/>
          </w:tcPr>
          <w:p>
            <w:r/>
            <w:r>
              <w:rPr>
                <w:b w:val="0"/>
                <w:i w:val="0"/>
                <w:sz w:val="19"/>
              </w:rPr>
              <w:t>Recurring donors</w:t>
            </w:r>
          </w:p>
        </w:tc>
        <w:tc>
          <w:tcPr>
            <w:tcW w:type="dxa" w:w="2412"/>
          </w:tcPr>
          <w:p>
            <w:r/>
            <w:r>
              <w:rPr>
                <w:b w:val="0"/>
                <w:i w:val="0"/>
                <w:sz w:val="19"/>
              </w:rPr>
              <w:t>310</w:t>
            </w:r>
          </w:p>
        </w:tc>
        <w:tc>
          <w:tcPr>
            <w:tcW w:type="dxa" w:w="2412"/>
          </w:tcPr>
          <w:p>
            <w:r/>
            <w:r>
              <w:rPr>
                <w:b w:val="0"/>
                <w:i w:val="0"/>
                <w:sz w:val="19"/>
              </w:rPr>
              <w:t>400 by October 2026</w:t>
            </w:r>
          </w:p>
        </w:tc>
        <w:tc>
          <w:tcPr>
            <w:tcW w:type="dxa" w:w="2412"/>
          </w:tcPr>
          <w:p>
            <w:r/>
            <w:r>
              <w:rPr>
                <w:b w:val="0"/>
                <w:i w:val="0"/>
                <w:sz w:val="19"/>
              </w:rPr>
              <w:t>Donor CRM</w:t>
            </w:r>
          </w:p>
        </w:tc>
      </w:tr>
      <w:tr>
        <w:trPr>
          <w:trHeight w:val="432"/>
        </w:trPr>
        <w:tc>
          <w:tcPr>
            <w:tcW w:type="dxa" w:w="2412"/>
          </w:tcPr>
          <w:p>
            <w:r/>
            <w:r>
              <w:rPr>
                <w:b w:val="0"/>
                <w:i w:val="0"/>
                <w:sz w:val="19"/>
              </w:rPr>
              <w:t>Admin accounts using MFA</w:t>
            </w:r>
          </w:p>
        </w:tc>
        <w:tc>
          <w:tcPr>
            <w:tcW w:type="dxa" w:w="2412"/>
          </w:tcPr>
          <w:p>
            <w:r/>
            <w:r>
              <w:rPr>
                <w:b w:val="0"/>
                <w:i w:val="0"/>
                <w:sz w:val="19"/>
              </w:rPr>
              <w:t>0%</w:t>
            </w:r>
          </w:p>
        </w:tc>
        <w:tc>
          <w:tcPr>
            <w:tcW w:type="dxa" w:w="2412"/>
          </w:tcPr>
          <w:p>
            <w:r/>
            <w:r>
              <w:rPr>
                <w:b w:val="0"/>
                <w:i w:val="0"/>
                <w:sz w:val="19"/>
              </w:rPr>
              <w:t>100% at go-live</w:t>
            </w:r>
          </w:p>
        </w:tc>
        <w:tc>
          <w:tcPr>
            <w:tcW w:type="dxa" w:w="2412"/>
          </w:tcPr>
          <w:p>
            <w:r/>
            <w:r>
              <w:rPr>
                <w:b w:val="0"/>
                <w:i w:val="0"/>
                <w:sz w:val="19"/>
              </w:rPr>
              <w:t>Identity provider report</w:t>
            </w:r>
          </w:p>
        </w:tc>
      </w:tr>
    </w:tbl>
    <w:p/>
    <w:p>
      <w:pPr>
        <w:pStyle w:val="Heading2"/>
      </w:pPr>
      <w:r>
        <w:t>3. Scope</w:t>
      </w:r>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In scope</w:t>
            </w:r>
          </w:p>
        </w:tc>
        <w:tc>
          <w:tcPr>
            <w:tcW w:type="dxa" w:w="6336"/>
          </w:tcPr>
          <w:p>
            <w:r/>
            <w:r>
              <w:rPr>
                <w:b w:val="0"/>
                <w:i w:val="0"/>
                <w:sz w:val="19"/>
              </w:rPr>
              <w:t>Volunteer sign-up with MFA; viewing, booking and cancelling shifts; recurring shifts with capacity limits; hours logging and a downloadable certificate; donor recurring gifts through a PCI-compliant processor; nightly sync with the donor CRM; migration of volunteer records from spreadsheets; training for staff and volunteers; two weeks of hypercare after go-live.</w:t>
            </w:r>
          </w:p>
        </w:tc>
      </w:tr>
      <w:tr>
        <w:trPr>
          <w:trHeight w:val="461"/>
        </w:trPr>
        <w:tc>
          <w:tcPr>
            <w:tcW w:type="dxa" w:w="3312"/>
            <w:shd w:val="clear" w:color="auto" w:fill="F3F4F6"/>
          </w:tcPr>
          <w:p>
            <w:r/>
            <w:r>
              <w:rPr>
                <w:b/>
                <w:i w:val="0"/>
                <w:sz w:val="19"/>
              </w:rPr>
              <w:t>Out of scope (explicit)</w:t>
            </w:r>
          </w:p>
        </w:tc>
        <w:tc>
          <w:tcPr>
            <w:tcW w:type="dxa" w:w="6336"/>
          </w:tcPr>
          <w:p>
            <w:r/>
            <w:r>
              <w:rPr>
                <w:b w:val="0"/>
                <w:i w:val="0"/>
                <w:sz w:val="19"/>
              </w:rPr>
              <w:t>Event and gala ticketing; text-message reminders (revisit after go-live); replacing the donor CRM; native mobile apps (the portal must work in mobile browsers).</w:t>
            </w:r>
          </w:p>
        </w:tc>
      </w:tr>
      <w:tr>
        <w:trPr>
          <w:trHeight w:val="461"/>
        </w:trPr>
        <w:tc>
          <w:tcPr>
            <w:tcW w:type="dxa" w:w="3312"/>
            <w:shd w:val="clear" w:color="auto" w:fill="F3F4F6"/>
          </w:tcPr>
          <w:p>
            <w:r/>
            <w:r>
              <w:rPr>
                <w:b/>
                <w:i w:val="0"/>
                <w:sz w:val="19"/>
              </w:rPr>
              <w:t>Key deliverables</w:t>
            </w:r>
          </w:p>
        </w:tc>
        <w:tc>
          <w:tcPr>
            <w:tcW w:type="dxa" w:w="6336"/>
          </w:tcPr>
          <w:p>
            <w:r/>
            <w:r>
              <w:rPr>
                <w:b w:val="0"/>
                <w:i w:val="0"/>
                <w:sz w:val="19"/>
              </w:rPr>
              <w:t>Live portal; migrated and cleaned data; security test report; training materials; closeout report.</w:t>
            </w:r>
          </w:p>
        </w:tc>
      </w:tr>
    </w:tbl>
    <w:p/>
    <w:p>
      <w:pPr>
        <w:pStyle w:val="Heading2"/>
      </w:pPr>
      <w:r>
        <w:t>4. Milestones (high level)</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A5F"/>
          </w:tcPr>
          <w:p>
            <w:r/>
            <w:r>
              <w:rPr>
                <w:b/>
                <w:i w:val="0"/>
                <w:color w:val="FFFFFF"/>
                <w:sz w:val="19"/>
              </w:rPr>
              <w:t>Milestone</w:t>
            </w:r>
          </w:p>
        </w:tc>
        <w:tc>
          <w:tcPr>
            <w:tcW w:type="dxa" w:w="3216"/>
            <w:shd w:val="clear" w:color="auto" w:fill="1F3A5F"/>
          </w:tcPr>
          <w:p>
            <w:r/>
            <w:r>
              <w:rPr>
                <w:b/>
                <w:i w:val="0"/>
                <w:color w:val="FFFFFF"/>
                <w:sz w:val="19"/>
              </w:rPr>
              <w:t>Target date</w:t>
            </w:r>
          </w:p>
        </w:tc>
        <w:tc>
          <w:tcPr>
            <w:tcW w:type="dxa" w:w="3216"/>
            <w:shd w:val="clear" w:color="auto" w:fill="1F3A5F"/>
          </w:tcPr>
          <w:p>
            <w:r/>
            <w:r>
              <w:rPr>
                <w:b/>
                <w:i w:val="0"/>
                <w:color w:val="FFFFFF"/>
                <w:sz w:val="19"/>
              </w:rPr>
              <w:t>Gate / approval needed?</w:t>
            </w:r>
          </w:p>
        </w:tc>
      </w:tr>
      <w:tr>
        <w:trPr>
          <w:trHeight w:val="432"/>
        </w:trPr>
        <w:tc>
          <w:tcPr>
            <w:tcW w:type="dxa" w:w="3216"/>
          </w:tcPr>
          <w:p>
            <w:r/>
            <w:r>
              <w:rPr>
                <w:b w:val="0"/>
                <w:i w:val="0"/>
                <w:sz w:val="19"/>
              </w:rPr>
              <w:t>Charter signed</w:t>
            </w:r>
          </w:p>
        </w:tc>
        <w:tc>
          <w:tcPr>
            <w:tcW w:type="dxa" w:w="3216"/>
          </w:tcPr>
          <w:p>
            <w:r/>
            <w:r>
              <w:rPr>
                <w:b w:val="0"/>
                <w:i w:val="0"/>
                <w:sz w:val="19"/>
              </w:rPr>
              <w:t>Jan 9, 2026</w:t>
            </w:r>
          </w:p>
        </w:tc>
        <w:tc>
          <w:tcPr>
            <w:tcW w:type="dxa" w:w="3216"/>
          </w:tcPr>
          <w:p>
            <w:r/>
            <w:r>
              <w:rPr>
                <w:b w:val="0"/>
                <w:i w:val="0"/>
                <w:sz w:val="19"/>
              </w:rPr>
              <w:t>Yes: sponsor</w:t>
            </w:r>
          </w:p>
        </w:tc>
      </w:tr>
      <w:tr>
        <w:trPr>
          <w:trHeight w:val="432"/>
        </w:trPr>
        <w:tc>
          <w:tcPr>
            <w:tcW w:type="dxa" w:w="3216"/>
          </w:tcPr>
          <w:p>
            <w:r/>
            <w:r>
              <w:rPr>
                <w:b w:val="0"/>
                <w:i w:val="0"/>
                <w:sz w:val="19"/>
              </w:rPr>
              <w:t>Plan and baselines approved</w:t>
            </w:r>
          </w:p>
        </w:tc>
        <w:tc>
          <w:tcPr>
            <w:tcW w:type="dxa" w:w="3216"/>
          </w:tcPr>
          <w:p>
            <w:r/>
            <w:r>
              <w:rPr>
                <w:b w:val="0"/>
                <w:i w:val="0"/>
                <w:sz w:val="19"/>
              </w:rPr>
              <w:t>Feb 6, 2026</w:t>
            </w:r>
          </w:p>
        </w:tc>
        <w:tc>
          <w:tcPr>
            <w:tcW w:type="dxa" w:w="3216"/>
          </w:tcPr>
          <w:p>
            <w:r/>
            <w:r>
              <w:rPr>
                <w:b w:val="0"/>
                <w:i w:val="0"/>
                <w:sz w:val="19"/>
              </w:rPr>
              <w:t>Yes: sponsor (planning gate)</w:t>
            </w:r>
          </w:p>
        </w:tc>
      </w:tr>
      <w:tr>
        <w:trPr>
          <w:trHeight w:val="432"/>
        </w:trPr>
        <w:tc>
          <w:tcPr>
            <w:tcW w:type="dxa" w:w="3216"/>
          </w:tcPr>
          <w:p>
            <w:r/>
            <w:r>
              <w:rPr>
                <w:b w:val="0"/>
                <w:i w:val="0"/>
                <w:sz w:val="19"/>
              </w:rPr>
              <w:t>MVP pilot with 20 volunteers</w:t>
            </w:r>
          </w:p>
        </w:tc>
        <w:tc>
          <w:tcPr>
            <w:tcW w:type="dxa" w:w="3216"/>
          </w:tcPr>
          <w:p>
            <w:r/>
            <w:r>
              <w:rPr>
                <w:b w:val="0"/>
                <w:i w:val="0"/>
                <w:sz w:val="19"/>
              </w:rPr>
              <w:t>Mar 27, 2026</w:t>
            </w:r>
          </w:p>
        </w:tc>
        <w:tc>
          <w:tcPr>
            <w:tcW w:type="dxa" w:w="3216"/>
          </w:tcPr>
          <w:p>
            <w:r/>
            <w:r>
              <w:rPr>
                <w:b w:val="0"/>
                <w:i w:val="0"/>
                <w:sz w:val="19"/>
              </w:rPr>
              <w:t>No</w:t>
            </w:r>
          </w:p>
        </w:tc>
      </w:tr>
      <w:tr>
        <w:trPr>
          <w:trHeight w:val="432"/>
        </w:trPr>
        <w:tc>
          <w:tcPr>
            <w:tcW w:type="dxa" w:w="3216"/>
          </w:tcPr>
          <w:p>
            <w:r/>
            <w:r>
              <w:rPr>
                <w:b w:val="0"/>
                <w:i w:val="0"/>
                <w:sz w:val="19"/>
              </w:rPr>
              <w:t>Go-live readiness and CAB approval</w:t>
            </w:r>
          </w:p>
        </w:tc>
        <w:tc>
          <w:tcPr>
            <w:tcW w:type="dxa" w:w="3216"/>
          </w:tcPr>
          <w:p>
            <w:r/>
            <w:r>
              <w:rPr>
                <w:b w:val="0"/>
                <w:i w:val="0"/>
                <w:sz w:val="19"/>
              </w:rPr>
              <w:t>May 26, 2026</w:t>
            </w:r>
          </w:p>
        </w:tc>
        <w:tc>
          <w:tcPr>
            <w:tcW w:type="dxa" w:w="3216"/>
          </w:tcPr>
          <w:p>
            <w:r/>
            <w:r>
              <w:rPr>
                <w:b w:val="0"/>
                <w:i w:val="0"/>
                <w:sz w:val="19"/>
              </w:rPr>
              <w:t>Yes: CAB</w:t>
            </w:r>
          </w:p>
        </w:tc>
      </w:tr>
      <w:tr>
        <w:trPr>
          <w:trHeight w:val="432"/>
        </w:trPr>
        <w:tc>
          <w:tcPr>
            <w:tcW w:type="dxa" w:w="3216"/>
          </w:tcPr>
          <w:p>
            <w:r/>
            <w:r>
              <w:rPr>
                <w:b w:val="0"/>
                <w:i w:val="0"/>
                <w:sz w:val="19"/>
              </w:rPr>
              <w:t>Go-live</w:t>
            </w:r>
          </w:p>
        </w:tc>
        <w:tc>
          <w:tcPr>
            <w:tcW w:type="dxa" w:w="3216"/>
          </w:tcPr>
          <w:p>
            <w:r/>
            <w:r>
              <w:rPr>
                <w:b w:val="0"/>
                <w:i w:val="0"/>
                <w:sz w:val="19"/>
              </w:rPr>
              <w:t>Jun 1, 2026</w:t>
            </w:r>
          </w:p>
        </w:tc>
        <w:tc>
          <w:tcPr>
            <w:tcW w:type="dxa" w:w="3216"/>
          </w:tcPr>
          <w:p>
            <w:r/>
            <w:r>
              <w:rPr>
                <w:b w:val="0"/>
                <w:i w:val="0"/>
                <w:sz w:val="19"/>
              </w:rPr>
              <w:t>Yes: sponsor go/no-go</w:t>
            </w:r>
          </w:p>
        </w:tc>
      </w:tr>
      <w:tr>
        <w:trPr>
          <w:trHeight w:val="432"/>
        </w:trPr>
        <w:tc>
          <w:tcPr>
            <w:tcW w:type="dxa" w:w="3216"/>
          </w:tcPr>
          <w:p>
            <w:r/>
            <w:r>
              <w:rPr>
                <w:b w:val="0"/>
                <w:i w:val="0"/>
                <w:sz w:val="19"/>
              </w:rPr>
              <w:t>Closeout report and retrospective</w:t>
            </w:r>
          </w:p>
        </w:tc>
        <w:tc>
          <w:tcPr>
            <w:tcW w:type="dxa" w:w="3216"/>
          </w:tcPr>
          <w:p>
            <w:r/>
            <w:r>
              <w:rPr>
                <w:b w:val="0"/>
                <w:i w:val="0"/>
                <w:sz w:val="19"/>
              </w:rPr>
              <w:t>Jun 26, 2026</w:t>
            </w:r>
          </w:p>
        </w:tc>
        <w:tc>
          <w:tcPr>
            <w:tcW w:type="dxa" w:w="3216"/>
          </w:tcPr>
          <w:p>
            <w:r/>
            <w:r>
              <w:rPr>
                <w:b w:val="0"/>
                <w:i w:val="0"/>
                <w:sz w:val="19"/>
              </w:rPr>
              <w:t>Yes: sponsor</w:t>
            </w:r>
          </w:p>
        </w:tc>
      </w:tr>
    </w:tbl>
    <w:p/>
    <w:p>
      <w:pPr>
        <w:pStyle w:val="Heading2"/>
      </w:pPr>
      <w:r>
        <w:t>5. Budget and resources</w:t>
      </w:r>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Approved budget (incl. reserve)</w:t>
            </w:r>
          </w:p>
        </w:tc>
        <w:tc>
          <w:tcPr>
            <w:tcW w:type="dxa" w:w="6336"/>
          </w:tcPr>
          <w:p>
            <w:r/>
            <w:r>
              <w:rPr>
                <w:b w:val="0"/>
                <w:i w:val="0"/>
                <w:sz w:val="19"/>
              </w:rPr>
              <w:t>$185,000, including a $17,000 contingency reserve (about 10%)</w:t>
            </w:r>
          </w:p>
        </w:tc>
      </w:tr>
      <w:tr>
        <w:trPr>
          <w:trHeight w:val="461"/>
        </w:trPr>
        <w:tc>
          <w:tcPr>
            <w:tcW w:type="dxa" w:w="3312"/>
            <w:shd w:val="clear" w:color="auto" w:fill="F3F4F6"/>
          </w:tcPr>
          <w:p>
            <w:r/>
            <w:r>
              <w:rPr>
                <w:b/>
                <w:i w:val="0"/>
                <w:sz w:val="19"/>
              </w:rPr>
              <w:t>Funding source</w:t>
            </w:r>
          </w:p>
        </w:tc>
        <w:tc>
          <w:tcPr>
            <w:tcW w:type="dxa" w:w="6336"/>
          </w:tcPr>
          <w:p>
            <w:r/>
            <w:r>
              <w:rPr>
                <w:b w:val="0"/>
                <w:i w:val="0"/>
                <w:sz w:val="19"/>
              </w:rPr>
              <w:t>Technology grant; any balance from the operating budget</w:t>
            </w:r>
          </w:p>
        </w:tc>
      </w:tr>
      <w:tr>
        <w:trPr>
          <w:trHeight w:val="461"/>
        </w:trPr>
        <w:tc>
          <w:tcPr>
            <w:tcW w:type="dxa" w:w="3312"/>
            <w:shd w:val="clear" w:color="auto" w:fill="F3F4F6"/>
          </w:tcPr>
          <w:p>
            <w:r/>
            <w:r>
              <w:rPr>
                <w:b/>
                <w:i w:val="0"/>
                <w:sz w:val="19"/>
              </w:rPr>
              <w:t>Core team / roles</w:t>
            </w:r>
          </w:p>
        </w:tc>
        <w:tc>
          <w:tcPr>
            <w:tcW w:type="dxa" w:w="6336"/>
          </w:tcPr>
          <w:p>
            <w:r/>
            <w:r>
              <w:rPr>
                <w:b w:val="0"/>
                <w:i w:val="0"/>
                <w:sz w:val="19"/>
              </w:rPr>
              <w:t>PM, Product Owner, Business Analyst, Technical Lead (vendor), Security Lead, Finance Partner, Donor Relations Lead</w:t>
            </w:r>
          </w:p>
        </w:tc>
      </w:tr>
      <w:tr>
        <w:trPr>
          <w:trHeight w:val="461"/>
        </w:trPr>
        <w:tc>
          <w:tcPr>
            <w:tcW w:type="dxa" w:w="3312"/>
            <w:shd w:val="clear" w:color="auto" w:fill="F3F4F6"/>
          </w:tcPr>
          <w:p>
            <w:r/>
            <w:r>
              <w:rPr>
                <w:b/>
                <w:i w:val="0"/>
                <w:sz w:val="19"/>
              </w:rPr>
              <w:t>Vendors</w:t>
            </w:r>
          </w:p>
        </w:tc>
        <w:tc>
          <w:tcPr>
            <w:tcW w:type="dxa" w:w="6336"/>
          </w:tcPr>
          <w:p>
            <w:r/>
            <w:r>
              <w:rPr>
                <w:b w:val="0"/>
                <w:i w:val="0"/>
                <w:sz w:val="19"/>
              </w:rPr>
              <w:t>Build vendor, to be chosen by competitive bid (target January 30); third-party penetration tester</w:t>
            </w:r>
          </w:p>
        </w:tc>
      </w:tr>
    </w:tbl>
    <w:p/>
    <w:p>
      <w:pPr>
        <w:pStyle w:val="Heading2"/>
      </w:pPr>
      <w:r>
        <w:t>6. Delivery approach</w:t>
      </w:r>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Approach (predictive / agile / hybrid) and why</w:t>
            </w:r>
          </w:p>
        </w:tc>
        <w:tc>
          <w:tcPr>
            <w:tcW w:type="dxa" w:w="6336"/>
          </w:tcPr>
          <w:p>
            <w:r/>
            <w:r>
              <w:rPr>
                <w:b w:val="0"/>
                <w:i w:val="0"/>
                <w:sz w:val="19"/>
              </w:rPr>
              <w:t>Hybrid. A fixed milestone plan and budget, built in two-week sprints. The grant deadline is fixed, but portal features will be shaped by volunteer feedback. To be confirmed at the planning gate using the Delivery Approach worksheet (T04).</w:t>
            </w:r>
          </w:p>
        </w:tc>
      </w:tr>
      <w:tr>
        <w:trPr>
          <w:trHeight w:val="461"/>
        </w:trPr>
        <w:tc>
          <w:tcPr>
            <w:tcW w:type="dxa" w:w="3312"/>
            <w:shd w:val="clear" w:color="auto" w:fill="F3F4F6"/>
          </w:tcPr>
          <w:p>
            <w:r/>
            <w:r>
              <w:rPr>
                <w:b/>
                <w:i w:val="0"/>
                <w:sz w:val="19"/>
              </w:rPr>
              <w:t>Project size (Small / Medium / Large)</w:t>
            </w:r>
          </w:p>
        </w:tc>
        <w:tc>
          <w:tcPr>
            <w:tcW w:type="dxa" w:w="6336"/>
          </w:tcPr>
          <w:p>
            <w:r/>
            <w:r>
              <w:rPr>
                <w:b w:val="0"/>
                <w:i w:val="0"/>
                <w:sz w:val="19"/>
              </w:rPr>
              <w:t>Medium</w:t>
            </w:r>
          </w:p>
        </w:tc>
      </w:tr>
      <w:tr>
        <w:trPr>
          <w:trHeight w:val="461"/>
        </w:trPr>
        <w:tc>
          <w:tcPr>
            <w:tcW w:type="dxa" w:w="3312"/>
            <w:shd w:val="clear" w:color="auto" w:fill="F3F4F6"/>
          </w:tcPr>
          <w:p>
            <w:r/>
            <w:r>
              <w:rPr>
                <w:b/>
                <w:i w:val="0"/>
                <w:sz w:val="19"/>
              </w:rPr>
              <w:t>Required review gates (e.g., architecture, security, CAB)</w:t>
            </w:r>
          </w:p>
        </w:tc>
        <w:tc>
          <w:tcPr>
            <w:tcW w:type="dxa" w:w="6336"/>
          </w:tcPr>
          <w:p>
            <w:r/>
            <w:r>
              <w:rPr>
                <w:b w:val="0"/>
                <w:i w:val="0"/>
                <w:sz w:val="19"/>
              </w:rPr>
              <w:t>Security requirements review before build; penetration test before UAT; CAB approval before go-live</w:t>
            </w:r>
          </w:p>
        </w:tc>
      </w:tr>
    </w:tbl>
    <w:p/>
    <w:p>
      <w:pPr>
        <w:pStyle w:val="Heading2"/>
      </w:pPr>
      <w:r>
        <w:t>7. Key risks, assumptions and constraints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A5F"/>
          </w:tcPr>
          <w:p>
            <w:r/>
            <w:r>
              <w:rPr>
                <w:b/>
                <w:i w:val="0"/>
                <w:color w:val="FFFFFF"/>
                <w:sz w:val="19"/>
              </w:rPr>
              <w:t>Type</w:t>
            </w:r>
          </w:p>
        </w:tc>
        <w:tc>
          <w:tcPr>
            <w:tcW w:type="dxa" w:w="3216"/>
            <w:shd w:val="clear" w:color="auto" w:fill="1F3A5F"/>
          </w:tcPr>
          <w:p>
            <w:r/>
            <w:r>
              <w:rPr>
                <w:b/>
                <w:i w:val="0"/>
                <w:color w:val="FFFFFF"/>
                <w:sz w:val="19"/>
              </w:rPr>
              <w:t>Description</w:t>
            </w:r>
          </w:p>
        </w:tc>
        <w:tc>
          <w:tcPr>
            <w:tcW w:type="dxa" w:w="3216"/>
            <w:shd w:val="clear" w:color="auto" w:fill="1F3A5F"/>
          </w:tcPr>
          <w:p>
            <w:r/>
            <w:r>
              <w:rPr>
                <w:b/>
                <w:i w:val="0"/>
                <w:color w:val="FFFFFF"/>
                <w:sz w:val="19"/>
              </w:rPr>
              <w:t>Owner</w:t>
            </w:r>
          </w:p>
        </w:tc>
      </w:tr>
      <w:tr>
        <w:trPr>
          <w:trHeight w:val="432"/>
        </w:trPr>
        <w:tc>
          <w:tcPr>
            <w:tcW w:type="dxa" w:w="3216"/>
          </w:tcPr>
          <w:p>
            <w:r/>
            <w:r>
              <w:rPr>
                <w:b w:val="0"/>
                <w:i w:val="0"/>
                <w:sz w:val="19"/>
              </w:rPr>
              <w:t>Risk</w:t>
            </w:r>
          </w:p>
        </w:tc>
        <w:tc>
          <w:tcPr>
            <w:tcW w:type="dxa" w:w="3216"/>
          </w:tcPr>
          <w:p>
            <w:r/>
            <w:r>
              <w:rPr>
                <w:b w:val="0"/>
                <w:i w:val="0"/>
                <w:sz w:val="19"/>
              </w:rPr>
              <w:t>Because many volunteers are used to paper sign-ups, adoption may lag, reducing the staff-time savings.</w:t>
            </w:r>
          </w:p>
        </w:tc>
        <w:tc>
          <w:tcPr>
            <w:tcW w:type="dxa" w:w="3216"/>
          </w:tcPr>
          <w:p>
            <w:r/>
            <w:r>
              <w:rPr>
                <w:b w:val="0"/>
                <w:i w:val="0"/>
                <w:sz w:val="19"/>
              </w:rPr>
              <w:t>Priya Shah</w:t>
            </w:r>
          </w:p>
        </w:tc>
      </w:tr>
      <w:tr>
        <w:trPr>
          <w:trHeight w:val="432"/>
        </w:trPr>
        <w:tc>
          <w:tcPr>
            <w:tcW w:type="dxa" w:w="3216"/>
          </w:tcPr>
          <w:p>
            <w:r/>
            <w:r>
              <w:rPr>
                <w:b w:val="0"/>
                <w:i w:val="0"/>
                <w:sz w:val="19"/>
              </w:rPr>
              <w:t>Assumption</w:t>
            </w:r>
          </w:p>
        </w:tc>
        <w:tc>
          <w:tcPr>
            <w:tcW w:type="dxa" w:w="3216"/>
          </w:tcPr>
          <w:p>
            <w:r/>
            <w:r>
              <w:rPr>
                <w:b w:val="0"/>
                <w:i w:val="0"/>
                <w:sz w:val="19"/>
              </w:rPr>
              <w:t>At least 90% of volunteers have a phone that can run an authenticator or receive SMS codes.</w:t>
            </w:r>
          </w:p>
        </w:tc>
        <w:tc>
          <w:tcPr>
            <w:tcW w:type="dxa" w:w="3216"/>
          </w:tcPr>
          <w:p>
            <w:r/>
            <w:r>
              <w:rPr>
                <w:b w:val="0"/>
                <w:i w:val="0"/>
                <w:sz w:val="19"/>
              </w:rPr>
              <w:t>Aisha Grant</w:t>
            </w:r>
          </w:p>
        </w:tc>
      </w:tr>
      <w:tr>
        <w:trPr>
          <w:trHeight w:val="432"/>
        </w:trPr>
        <w:tc>
          <w:tcPr>
            <w:tcW w:type="dxa" w:w="3216"/>
          </w:tcPr>
          <w:p>
            <w:r/>
            <w:r>
              <w:rPr>
                <w:b w:val="0"/>
                <w:i w:val="0"/>
                <w:sz w:val="19"/>
              </w:rPr>
              <w:t>Constraint</w:t>
            </w:r>
          </w:p>
        </w:tc>
        <w:tc>
          <w:tcPr>
            <w:tcW w:type="dxa" w:w="3216"/>
          </w:tcPr>
          <w:p>
            <w:r/>
            <w:r>
              <w:rPr>
                <w:b w:val="0"/>
                <w:i w:val="0"/>
                <w:sz w:val="19"/>
              </w:rPr>
              <w:t>The grant requires the project to finish by June 26, 2026.</w:t>
            </w:r>
          </w:p>
        </w:tc>
        <w:tc>
          <w:tcPr>
            <w:tcW w:type="dxa" w:w="3216"/>
          </w:tcPr>
          <w:p>
            <w:r/>
            <w:r>
              <w:rPr>
                <w:b w:val="0"/>
                <w:i w:val="0"/>
                <w:sz w:val="19"/>
              </w:rPr>
              <w:t>Dana Ruiz</w:t>
            </w:r>
          </w:p>
        </w:tc>
      </w:tr>
    </w:tbl>
    <w:p/>
    <w:p>
      <w:pPr>
        <w:pStyle w:val="Heading2"/>
      </w:pPr>
      <w:r>
        <w:t>8. Governance and PM authority</w:t>
      </w:r>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Steering / decision forum</w:t>
            </w:r>
          </w:p>
        </w:tc>
        <w:tc>
          <w:tcPr>
            <w:tcW w:type="dxa" w:w="6336"/>
          </w:tcPr>
          <w:p>
            <w:r/>
            <w:r>
              <w:rPr>
                <w:b w:val="0"/>
                <w:i w:val="0"/>
                <w:sz w:val="19"/>
              </w:rPr>
              <w:t>Steering committee (Dana Ruiz, Aisha Grant, Kevin O’Neil, Priya Shah, Marcus Lee), monthly</w:t>
            </w:r>
          </w:p>
        </w:tc>
      </w:tr>
      <w:tr>
        <w:trPr>
          <w:trHeight w:val="461"/>
        </w:trPr>
        <w:tc>
          <w:tcPr>
            <w:tcW w:type="dxa" w:w="3312"/>
            <w:shd w:val="clear" w:color="auto" w:fill="F3F4F6"/>
          </w:tcPr>
          <w:p>
            <w:r/>
            <w:r>
              <w:rPr>
                <w:b/>
                <w:i w:val="0"/>
                <w:sz w:val="19"/>
              </w:rPr>
              <w:t>PM can approve changes up to</w:t>
            </w:r>
          </w:p>
        </w:tc>
        <w:tc>
          <w:tcPr>
            <w:tcW w:type="dxa" w:w="6336"/>
          </w:tcPr>
          <w:p>
            <w:r/>
            <w:r>
              <w:rPr>
                <w:b w:val="0"/>
                <w:i w:val="0"/>
                <w:sz w:val="19"/>
              </w:rPr>
              <w:t>$1,000 and no change to any milestone date. Sponsor: up to $25,000 or 15 days. Above that: steering committee.</w:t>
            </w:r>
          </w:p>
        </w:tc>
      </w:tr>
      <w:tr>
        <w:trPr>
          <w:trHeight w:val="461"/>
        </w:trPr>
        <w:tc>
          <w:tcPr>
            <w:tcW w:type="dxa" w:w="3312"/>
            <w:shd w:val="clear" w:color="auto" w:fill="F3F4F6"/>
          </w:tcPr>
          <w:p>
            <w:r/>
            <w:r>
              <w:rPr>
                <w:b/>
                <w:i w:val="0"/>
                <w:sz w:val="19"/>
              </w:rPr>
              <w:t>Escalation path</w:t>
            </w:r>
          </w:p>
        </w:tc>
        <w:tc>
          <w:tcPr>
            <w:tcW w:type="dxa" w:w="6336"/>
          </w:tcPr>
          <w:p>
            <w:r/>
            <w:r>
              <w:rPr>
                <w:b w:val="0"/>
                <w:i w:val="0"/>
                <w:sz w:val="19"/>
              </w:rPr>
              <w:t>PM, then Sponsor (within 2 working days), then Board Technology Committee</w:t>
            </w:r>
          </w:p>
        </w:tc>
      </w:tr>
      <w:tr>
        <w:trPr>
          <w:trHeight w:val="461"/>
        </w:trPr>
        <w:tc>
          <w:tcPr>
            <w:tcW w:type="dxa" w:w="3312"/>
            <w:shd w:val="clear" w:color="auto" w:fill="F3F4F6"/>
          </w:tcPr>
          <w:p>
            <w:r/>
            <w:r>
              <w:rPr>
                <w:b/>
                <w:i w:val="0"/>
                <w:sz w:val="19"/>
              </w:rPr>
              <w:t>Reporting cadence</w:t>
            </w:r>
          </w:p>
        </w:tc>
        <w:tc>
          <w:tcPr>
            <w:tcW w:type="dxa" w:w="6336"/>
          </w:tcPr>
          <w:p>
            <w:r/>
            <w:r>
              <w:rPr>
                <w:b w:val="0"/>
                <w:i w:val="0"/>
                <w:sz w:val="19"/>
              </w:rPr>
              <w:t>Weekly status report to the Sponsor (Mondays); monthly steering pack; monthly one-page memo to the Board Technology Committee</w:t>
            </w:r>
          </w:p>
        </w:tc>
      </w:tr>
    </w:tbl>
    <w:p/>
    <w:p>
      <w:pPr>
        <w:pStyle w:val="Heading2"/>
      </w:pPr>
      <w:r>
        <w:t>9. Stakeholders</w:t>
      </w:r>
    </w:p>
    <w:p>
      <w:r>
        <w:rPr>
          <w:sz w:val="20"/>
        </w:rPr>
        <w:t>Key groups are the Board Technology Committee, pantry site coordinators, about 1,200 volunteers, Donor Relations, IT and Security, Finance, and the build vendor. The full list, scores and engagement plan are in the Stakeholder Register (T03).</w:t>
      </w:r>
    </w:p>
    <w:p>
      <w:pPr>
        <w:pStyle w:val="Heading2"/>
      </w:pPr>
      <w:r>
        <w:t>10. Approval</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A5F"/>
          </w:tcPr>
          <w:p>
            <w:r/>
            <w:r>
              <w:rPr>
                <w:b/>
                <w:i w:val="0"/>
                <w:color w:val="FFFFFF"/>
                <w:sz w:val="19"/>
              </w:rPr>
              <w:t>Role</w:t>
            </w:r>
          </w:p>
        </w:tc>
        <w:tc>
          <w:tcPr>
            <w:tcW w:type="dxa" w:w="2412"/>
            <w:shd w:val="clear" w:color="auto" w:fill="1F3A5F"/>
          </w:tcPr>
          <w:p>
            <w:r/>
            <w:r>
              <w:rPr>
                <w:b/>
                <w:i w:val="0"/>
                <w:color w:val="FFFFFF"/>
                <w:sz w:val="19"/>
              </w:rPr>
              <w:t>Name</w:t>
            </w:r>
          </w:p>
        </w:tc>
        <w:tc>
          <w:tcPr>
            <w:tcW w:type="dxa" w:w="2412"/>
            <w:shd w:val="clear" w:color="auto" w:fill="1F3A5F"/>
          </w:tcPr>
          <w:p>
            <w:r/>
            <w:r>
              <w:rPr>
                <w:b/>
                <w:i w:val="0"/>
                <w:color w:val="FFFFFF"/>
                <w:sz w:val="19"/>
              </w:rPr>
              <w:t>Signature / approval method</w:t>
            </w:r>
          </w:p>
        </w:tc>
        <w:tc>
          <w:tcPr>
            <w:tcW w:type="dxa" w:w="2412"/>
            <w:shd w:val="clear" w:color="auto" w:fill="1F3A5F"/>
          </w:tcPr>
          <w:p>
            <w:r/>
            <w:r>
              <w:rPr>
                <w:b/>
                <w:i w:val="0"/>
                <w:color w:val="FFFFFF"/>
                <w:sz w:val="19"/>
              </w:rPr>
              <w:t>Date</w:t>
            </w:r>
          </w:p>
        </w:tc>
      </w:tr>
      <w:tr>
        <w:trPr>
          <w:trHeight w:val="432"/>
        </w:trPr>
        <w:tc>
          <w:tcPr>
            <w:tcW w:type="dxa" w:w="2412"/>
          </w:tcPr>
          <w:p>
            <w:r/>
            <w:r>
              <w:rPr>
                <w:b w:val="0"/>
                <w:i w:val="0"/>
                <w:sz w:val="19"/>
              </w:rPr>
              <w:t>Sponsor</w:t>
            </w:r>
          </w:p>
        </w:tc>
        <w:tc>
          <w:tcPr>
            <w:tcW w:type="dxa" w:w="2412"/>
          </w:tcPr>
          <w:p>
            <w:r/>
            <w:r>
              <w:rPr>
                <w:b w:val="0"/>
                <w:i w:val="0"/>
                <w:sz w:val="19"/>
              </w:rPr>
              <w:t>Dana Ruiz</w:t>
            </w:r>
          </w:p>
        </w:tc>
        <w:tc>
          <w:tcPr>
            <w:tcW w:type="dxa" w:w="2412"/>
          </w:tcPr>
          <w:p>
            <w:r/>
            <w:r>
              <w:rPr>
                <w:b w:val="0"/>
                <w:i w:val="0"/>
                <w:sz w:val="19"/>
              </w:rPr>
              <w:t>Email approval</w:t>
            </w:r>
          </w:p>
        </w:tc>
        <w:tc>
          <w:tcPr>
            <w:tcW w:type="dxa" w:w="2412"/>
          </w:tcPr>
          <w:p>
            <w:r/>
            <w:r>
              <w:rPr>
                <w:b w:val="0"/>
                <w:i w:val="0"/>
                <w:sz w:val="19"/>
              </w:rPr>
              <w:t>Jan 9, 2026</w:t>
            </w:r>
          </w:p>
        </w:tc>
      </w:tr>
      <w:tr>
        <w:trPr>
          <w:trHeight w:val="432"/>
        </w:trPr>
        <w:tc>
          <w:tcPr>
            <w:tcW w:type="dxa" w:w="2412"/>
          </w:tcPr>
          <w:p>
            <w:r/>
            <w:r>
              <w:rPr>
                <w:b w:val="0"/>
                <w:i w:val="0"/>
                <w:sz w:val="19"/>
              </w:rPr>
              <w:t>Project Manager</w:t>
            </w:r>
          </w:p>
        </w:tc>
        <w:tc>
          <w:tcPr>
            <w:tcW w:type="dxa" w:w="2412"/>
          </w:tcPr>
          <w:p>
            <w:r/>
            <w:r>
              <w:rPr>
                <w:b w:val="0"/>
                <w:i w:val="0"/>
                <w:sz w:val="19"/>
              </w:rPr>
              <w:t>Marcus Lee</w:t>
            </w:r>
          </w:p>
        </w:tc>
        <w:tc>
          <w:tcPr>
            <w:tcW w:type="dxa" w:w="2412"/>
          </w:tcPr>
          <w:p>
            <w:r/>
            <w:r>
              <w:rPr>
                <w:b w:val="0"/>
                <w:i w:val="0"/>
                <w:sz w:val="19"/>
              </w:rPr>
              <w:t>Email approval</w:t>
            </w:r>
          </w:p>
        </w:tc>
        <w:tc>
          <w:tcPr>
            <w:tcW w:type="dxa" w:w="2412"/>
          </w:tcPr>
          <w:p>
            <w:r/>
            <w:r>
              <w:rPr>
                <w:b w:val="0"/>
                <w:i w:val="0"/>
                <w:sz w:val="19"/>
              </w:rPr>
              <w:t>Jan 9, 2026</w:t>
            </w:r>
          </w:p>
        </w:tc>
      </w:tr>
      <w:tr>
        <w:trPr>
          <w:trHeight w:val="432"/>
        </w:trPr>
        <w:tc>
          <w:tcPr>
            <w:tcW w:type="dxa" w:w="2412"/>
          </w:tcPr>
          <w:p>
            <w:r/>
            <w:r>
              <w:rPr>
                <w:b w:val="0"/>
                <w:i w:val="0"/>
                <w:sz w:val="19"/>
              </w:rPr>
              <w:t>Product Owner</w:t>
            </w:r>
          </w:p>
        </w:tc>
        <w:tc>
          <w:tcPr>
            <w:tcW w:type="dxa" w:w="2412"/>
          </w:tcPr>
          <w:p>
            <w:r/>
            <w:r>
              <w:rPr>
                <w:b w:val="0"/>
                <w:i w:val="0"/>
                <w:sz w:val="19"/>
              </w:rPr>
              <w:t>Priya Shah</w:t>
            </w:r>
          </w:p>
        </w:tc>
        <w:tc>
          <w:tcPr>
            <w:tcW w:type="dxa" w:w="2412"/>
          </w:tcPr>
          <w:p>
            <w:r/>
            <w:r>
              <w:rPr>
                <w:b w:val="0"/>
                <w:i w:val="0"/>
                <w:sz w:val="19"/>
              </w:rPr>
              <w:t>Email approval</w:t>
            </w:r>
          </w:p>
        </w:tc>
        <w:tc>
          <w:tcPr>
            <w:tcW w:type="dxa" w:w="2412"/>
          </w:tcPr>
          <w:p>
            <w:r/>
            <w:r>
              <w:rPr>
                <w:b w:val="0"/>
                <w:i w:val="0"/>
                <w:sz w:val="19"/>
              </w:rPr>
              <w:t>Jan 9, 2026</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B7280"/>
        <w:sz w:val="15"/>
      </w:rPr>
      <w:t xml:space="preserve">“Project Manager in a Box” by James Pearson, licensed under CC BY-NC-SA 4.0 (https://creativecommons.org/licenses/by-nc-sa/4.0/).  Version 0.1 (prototype), October 2026. Latest version: </w:t>
    </w:r>
    <w:hyperlink r:id="rId1">
      <w:r>
        <w:rPr>
          <w:rStyle w:val="Hyperlink"/>
          <w:color w:val="0563C1"/>
          <w:u w:val="single"/>
          <w:sz w:val="15"/>
        </w:rPr>
        <w:t>github.com/james-s-pearson/Cybersecurity-Portfolio/tree/main/project-manager-in-a-box</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james-s-pearson/Cybersecurity-Portfolio/tree/main/project-manager-in-a-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
  <dc:creator>James Pearson</dc:creator>
  <cp:keywords/>
  <dc:description/>
  <cp:lastModifiedBy/>
  <cp:revision>1</cp:revision>
  <dcterms:created xsi:type="dcterms:W3CDTF">2026-10-28T00:53:21Z</dcterms:created>
  <dcterms:modified xsi:type="dcterms:W3CDTF">2026-10-28T00:53:21Z</dcterms:modified>
  <cp:category/>
</cp:coreProperties>
</file>