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EXAMPLE T15  ·  PROJECT MANAGER IN A BOX</w:t>
      </w:r>
    </w:p>
    <w:p>
      <w:pPr>
        <w:pStyle w:val="Heading1"/>
      </w:pPr>
      <w:r>
        <w:t>Status Report</w:t>
      </w:r>
    </w:p>
    <w:p>
      <w:r>
        <w:rPr>
          <w:i/>
          <w:color w:val="6B7280"/>
        </w:rPr>
        <w:t>A one-page weekly update: overall RAG, progress, next steps, top risks and decisions needed.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0"/>
          </w:tcPr>
          <w:p>
            <w:r/>
            <w:r>
              <w:rPr>
                <w:b/>
                <w:i w:val="0"/>
                <w:color w:val="1F3A5F"/>
                <w:sz w:val="19"/>
              </w:rPr>
              <w:t>Example based on the fictional Project Beacon. Names, figures and outcomes are invented for illustration.</w:t>
            </w:r>
          </w:p>
          <w:p>
            <w:r>
              <w:rPr>
                <w:i/>
                <w:color w:val="6B7280"/>
                <w:sz w:val="17"/>
              </w:rPr>
              <w:t>This is a filled-in example of template T15. Use the blank template to start your 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Project Beacon – Volunteer &amp; Donor Portal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Report 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June 22, 2026 (final report)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 manager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Marcus Lee</w:t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Overall status (Green / Amber / Red)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</w:tr>
    </w:tbl>
    <w:p/>
    <w:p>
      <w:pPr>
        <w:pStyle w:val="Heading2"/>
      </w:pPr>
      <w:r>
        <w:t>Summary</w:t>
      </w:r>
    </w:p>
    <w:p>
      <w:r>
        <w:rPr>
          <w:sz w:val="20"/>
        </w:rPr>
        <w:t>Project Beacon is complete. The portal went live on June 1, 2026, the committed date, and the sponsor approved closeout today. Final cost is $169,400 against $185,000 approved. Adoption is still ramping (61% of shifts booked online against an 80% target), so three follow-up items now belong to the business owners.</w:t>
      </w:r>
    </w:p>
    <w:p>
      <w:pPr>
        <w:pStyle w:val="Heading2"/>
      </w:pPr>
      <w:r>
        <w:t>Decisions / help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Ask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Needed by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Decide phase 2 scope and funding (gala ticketing, text reminders)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Dana Ruiz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Jul 31, 2026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Re-measure adoption targets and report to the sponsor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Oct 30, 2026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Renew the portal subscription before the first-year term ends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Kevin O’Neil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May 31, 2027</w:t>
            </w:r>
          </w:p>
        </w:tc>
      </w:tr>
    </w:tbl>
    <w:p/>
    <w:p>
      <w:pPr>
        <w:pStyle w:val="Heading2"/>
      </w:pPr>
      <w:r>
        <w:t>Health by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Comment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Schedule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100% complete vs 100% planned (SPI 1.00). Go-live June 1 as committed; closed June 22, four days before the grant deadline.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Budget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Final cost $169,400 vs $185,000 approved (8.4% under). All lines closed; $15,000 of the reserve was not needed.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Scope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All 9 committed requirements accepted. R-10 (text reminders) and gala ticketing deferred to phase 2.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Risk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 open Red items. Three follow-up risks (one Amber, two Green) handed to business owners.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Quality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 open Severity 1 or 2 defects. Hypercare ended June 12 with no Severity 1 or 2 incidents.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Stakeholders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Green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9 of 10 stakeholders at their desired engagement. Volunteers are still Neutral; the target is Supportive.</w:t>
            </w:r>
          </w:p>
        </w:tc>
      </w:tr>
    </w:tbl>
    <w:p/>
    <w:p>
      <w:pPr>
        <w:pStyle w:val="Heading2"/>
      </w:pPr>
      <w:r>
        <w:t>Completed this period</w:t>
      </w:r>
    </w:p>
    <w:p>
      <w:pPr>
        <w:pStyle w:val="ListBullet"/>
      </w:pPr>
      <w:r>
        <w:rPr>
          <w:sz w:val="20"/>
        </w:rPr>
        <w:t>Go-live on June 1 after CAB approval on May 26; hypercare finished June 12 with no Severity 1 or 2 incidents.</w:t>
      </w:r>
    </w:p>
    <w:p>
      <w:pPr>
        <w:pStyle w:val="ListBullet"/>
      </w:pPr>
      <w:r>
        <w:rPr>
          <w:sz w:val="20"/>
        </w:rPr>
        <w:t>Acceptance and transition sign-off (T21) signed on June 12.</w:t>
      </w:r>
    </w:p>
    <w:p>
      <w:pPr>
        <w:pStyle w:val="ListBullet"/>
      </w:pPr>
      <w:r>
        <w:rPr>
          <w:sz w:val="20"/>
        </w:rPr>
        <w:t>Retrospective held and lessons recorded (T19); closeout report (T20) approved and records archived.</w:t>
      </w:r>
    </w:p>
    <w:p>
      <w:pPr>
        <w:pStyle w:val="Heading2"/>
      </w:pPr>
      <w:r>
        <w:t>Planned next period</w:t>
      </w:r>
    </w:p>
    <w:p>
      <w:pPr>
        <w:pStyle w:val="ListBullet"/>
      </w:pPr>
      <w:r>
        <w:rPr>
          <w:sz w:val="20"/>
        </w:rPr>
        <w:t>Business owners take over the three open follow-up items above.</w:t>
      </w:r>
    </w:p>
    <w:p>
      <w:pPr>
        <w:pStyle w:val="ListBullet"/>
      </w:pPr>
      <w:r>
        <w:rPr>
          <w:sz w:val="20"/>
        </w:rPr>
        <w:t>Brightline moves the portal to its standard support plan.</w:t>
      </w:r>
    </w:p>
    <w:p>
      <w:pPr>
        <w:pStyle w:val="ListBullet"/>
      </w:pPr>
      <w:r>
        <w:rPr>
          <w:sz w:val="20"/>
        </w:rPr>
        <w:t>The project team stands down; team members return to their departments.</w:t>
      </w:r>
    </w:p>
    <w:p>
      <w:pPr>
        <w:pStyle w:val="Heading2"/>
      </w:pPr>
      <w:r>
        <w:t>Top risks and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Score / RAG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Response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R-007 Adoption targets not yet reached at closeout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6 / Amber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Transfer: re-measure October 30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Priya Shah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R-008 Phase 2 scope is undecided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4 / Green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Transfer: decide by July 31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Dana Ruiz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R-009 Portal subscription lapses if not renewed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4 / Green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Transfer: renew by May 31, 2027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Kevin O’Neil</w:t>
            </w:r>
          </w:p>
        </w:tc>
      </w:tr>
    </w:tbl>
    <w:p/>
    <w:p>
      <w:pPr>
        <w:pStyle w:val="Heading2"/>
      </w:pPr>
      <w:r>
        <w:t>Upcoming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Baseline date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Forecast date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Go-live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1, 2026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1, 2026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Done, on the committed 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Closeout approved by the 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26, 2026 (grant deadline)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Jun 22, 2026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Done, four days early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Adoption targets re-measured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Oct 30, 2026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Oct 30, 2026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Owned by Priya Shah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</dc:title>
  <dc:subject/>
  <dc:creator>James Pearson</dc:creator>
  <cp:keywords/>
  <dc:description/>
  <cp:lastModifiedBy/>
  <cp:revision>1</cp:revision>
  <dcterms:created xsi:type="dcterms:W3CDTF">2026-10-28T00:53:21Z</dcterms:created>
  <dcterms:modified xsi:type="dcterms:W3CDTF">2026-10-28T00:53:21Z</dcterms:modified>
  <cp:category/>
</cp:coreProperties>
</file>