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B7280"/>
          <w:sz w:val="16"/>
        </w:rPr>
        <w:t>EXAMPLE T20  ·  PROJECT MANAGER IN A BOX</w:t>
      </w:r>
    </w:p>
    <w:p>
      <w:pPr>
        <w:pStyle w:val="Heading1"/>
      </w:pPr>
      <w:r>
        <w:t>Closeout &amp; Impact Report</w:t>
      </w:r>
    </w:p>
    <w:p>
      <w:r>
        <w:rPr>
          <w:i/>
          <w:color w:val="6B7280"/>
        </w:rPr>
        <w:t>Summarizes what was delivered, performance against baselines, benefits, lessons and open items.</w:t>
      </w:r>
    </w:p>
    <w:tbl>
      <w:tblPr>
        <w:tblW w:type="auto" w:w="0"/>
        <w:tblLayout w:type="autofit"/>
        <w:tblLook w:firstColumn="1" w:firstRow="1" w:lastColumn="0" w:lastRow="0" w:noHBand="0" w:noVBand="1" w:val="04A0"/>
      </w:tblPr>
      <w:tblGrid>
        <w:gridCol w:w="9648"/>
      </w:tblGrid>
      <w:tr>
        <w:tc>
          <w:tcPr>
            <w:tcW w:type="dxa" w:w="9648"/>
            <w:shd w:val="clear" w:color="auto" w:fill="FFF7E0"/>
          </w:tcPr>
          <w:p>
            <w:r/>
            <w:r>
              <w:rPr>
                <w:b/>
                <w:i w:val="0"/>
                <w:color w:val="1F3A5F"/>
                <w:sz w:val="19"/>
              </w:rPr>
              <w:t>Example based on the fictional Project Beacon. Names, figures and outcomes are invented for illustration.</w:t>
            </w:r>
          </w:p>
          <w:p>
            <w:r>
              <w:rPr>
                <w:i/>
                <w:color w:val="6B7280"/>
                <w:sz w:val="17"/>
              </w:rPr>
              <w:t>This is a filled-in example of template T20. Use the blank template to start your own.</w:t>
            </w:r>
          </w:p>
        </w:tc>
      </w:tr>
    </w:tbl>
    <w:p/>
    <w:tbl>
      <w:tblPr>
        <w:tblStyle w:val="TableGrid"/>
        <w:tblW w:type="auto" w:w="0"/>
        <w:tblLook w:firstColumn="1" w:firstRow="1" w:lastColumn="0" w:lastRow="0" w:noHBand="0" w:noVBand="1" w:val="04A0"/>
      </w:tblPr>
      <w:tblGrid>
        <w:gridCol w:w="4824"/>
        <w:gridCol w:w="4824"/>
      </w:tblGrid>
      <w:tr>
        <w:trPr>
          <w:trHeight w:val="461"/>
        </w:trPr>
        <w:tc>
          <w:tcPr>
            <w:tcW w:type="dxa" w:w="3312"/>
            <w:shd w:val="clear" w:color="auto" w:fill="F3F4F6"/>
          </w:tcPr>
          <w:p>
            <w:r/>
            <w:r>
              <w:rPr>
                <w:b/>
                <w:i w:val="0"/>
                <w:sz w:val="19"/>
              </w:rPr>
              <w:t>Project</w:t>
            </w:r>
          </w:p>
        </w:tc>
        <w:tc>
          <w:tcPr>
            <w:tcW w:type="dxa" w:w="6336"/>
          </w:tcPr>
          <w:p>
            <w:r/>
            <w:r>
              <w:rPr>
                <w:b w:val="0"/>
                <w:i w:val="0"/>
                <w:sz w:val="19"/>
              </w:rPr>
              <w:t>Project Beacon – Volunteer &amp; Donor Portal</w:t>
            </w:r>
          </w:p>
        </w:tc>
      </w:tr>
      <w:tr>
        <w:trPr>
          <w:trHeight w:val="461"/>
        </w:trPr>
        <w:tc>
          <w:tcPr>
            <w:tcW w:type="dxa" w:w="3312"/>
            <w:shd w:val="clear" w:color="auto" w:fill="F3F4F6"/>
          </w:tcPr>
          <w:p>
            <w:r/>
            <w:r>
              <w:rPr>
                <w:b/>
                <w:i w:val="0"/>
                <w:sz w:val="19"/>
              </w:rPr>
              <w:t>Sponsor</w:t>
            </w:r>
          </w:p>
        </w:tc>
        <w:tc>
          <w:tcPr>
            <w:tcW w:type="dxa" w:w="6336"/>
          </w:tcPr>
          <w:p>
            <w:r/>
            <w:r>
              <w:rPr>
                <w:b w:val="0"/>
                <w:i w:val="0"/>
                <w:sz w:val="19"/>
              </w:rPr>
              <w:t>Dana Ruiz, Executive Director</w:t>
            </w:r>
          </w:p>
        </w:tc>
      </w:tr>
      <w:tr>
        <w:trPr>
          <w:trHeight w:val="461"/>
        </w:trPr>
        <w:tc>
          <w:tcPr>
            <w:tcW w:type="dxa" w:w="3312"/>
            <w:shd w:val="clear" w:color="auto" w:fill="F3F4F6"/>
          </w:tcPr>
          <w:p>
            <w:r/>
            <w:r>
              <w:rPr>
                <w:b/>
                <w:i w:val="0"/>
                <w:sz w:val="19"/>
              </w:rPr>
              <w:t>Project manager</w:t>
            </w:r>
          </w:p>
        </w:tc>
        <w:tc>
          <w:tcPr>
            <w:tcW w:type="dxa" w:w="6336"/>
          </w:tcPr>
          <w:p>
            <w:r/>
            <w:r>
              <w:rPr>
                <w:b w:val="0"/>
                <w:i w:val="0"/>
                <w:sz w:val="19"/>
              </w:rPr>
              <w:t>Marcus Lee</w:t>
            </w:r>
          </w:p>
        </w:tc>
      </w:tr>
      <w:tr>
        <w:trPr>
          <w:trHeight w:val="461"/>
        </w:trPr>
        <w:tc>
          <w:tcPr>
            <w:tcW w:type="dxa" w:w="3312"/>
            <w:shd w:val="clear" w:color="auto" w:fill="F3F4F6"/>
          </w:tcPr>
          <w:p>
            <w:r/>
            <w:r>
              <w:rPr>
                <w:b/>
                <w:i w:val="0"/>
                <w:sz w:val="19"/>
              </w:rPr>
              <w:t>Close date</w:t>
            </w:r>
          </w:p>
        </w:tc>
        <w:tc>
          <w:tcPr>
            <w:tcW w:type="dxa" w:w="6336"/>
          </w:tcPr>
          <w:p>
            <w:r/>
            <w:r>
              <w:rPr>
                <w:b w:val="0"/>
                <w:i w:val="0"/>
                <w:sz w:val="19"/>
              </w:rPr>
              <w:t>June 22, 2026</w:t>
            </w:r>
          </w:p>
        </w:tc>
      </w:tr>
    </w:tbl>
    <w:p/>
    <w:p>
      <w:pPr>
        <w:pStyle w:val="Heading2"/>
      </w:pPr>
      <w:r>
        <w:t>1. Executive summary (impact)</w:t>
      </w:r>
    </w:p>
    <w:p>
      <w:r>
        <w:rPr>
          <w:sz w:val="20"/>
        </w:rPr>
        <w:t>Northside’s volunteer and donor portal went live on June 1, 2026, the committed date, and the project closed on June 22, four days before the grant deadline of June 26. Volunteers now register, book shifts and log hours online. Donors manage their own recurring gifts. Records sync nightly with the donor CRM, and every admin account uses MFA. Final cost was $169,400 against $185,000 approved. Three weeks after go-live, 61% of shifts are booked online and scheduling time has fallen from 22 to 11 hours a week. Those measures are moving the right way but will not reach target until the autumn, so they are tracked after closure. Gala ticketing and text reminders were deferred to phase 2.</w:t>
      </w:r>
    </w:p>
    <w:p>
      <w:pPr>
        <w:pStyle w:val="Heading2"/>
      </w:pPr>
      <w:r>
        <w:t>2. Results against success criteria</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1F3A5F"/>
          </w:tcPr>
          <w:p>
            <w:r/>
            <w:r>
              <w:rPr>
                <w:b/>
                <w:i w:val="0"/>
                <w:color w:val="FFFFFF"/>
                <w:sz w:val="19"/>
              </w:rPr>
              <w:t>Goal / measure</w:t>
            </w:r>
          </w:p>
        </w:tc>
        <w:tc>
          <w:tcPr>
            <w:tcW w:type="dxa" w:w="1930"/>
            <w:shd w:val="clear" w:color="auto" w:fill="1F3A5F"/>
          </w:tcPr>
          <w:p>
            <w:r/>
            <w:r>
              <w:rPr>
                <w:b/>
                <w:i w:val="0"/>
                <w:color w:val="FFFFFF"/>
                <w:sz w:val="19"/>
              </w:rPr>
              <w:t>Baseline</w:t>
            </w:r>
          </w:p>
        </w:tc>
        <w:tc>
          <w:tcPr>
            <w:tcW w:type="dxa" w:w="1930"/>
            <w:shd w:val="clear" w:color="auto" w:fill="1F3A5F"/>
          </w:tcPr>
          <w:p>
            <w:r/>
            <w:r>
              <w:rPr>
                <w:b/>
                <w:i w:val="0"/>
                <w:color w:val="FFFFFF"/>
                <w:sz w:val="19"/>
              </w:rPr>
              <w:t>Target</w:t>
            </w:r>
          </w:p>
        </w:tc>
        <w:tc>
          <w:tcPr>
            <w:tcW w:type="dxa" w:w="1930"/>
            <w:shd w:val="clear" w:color="auto" w:fill="1F3A5F"/>
          </w:tcPr>
          <w:p>
            <w:r/>
            <w:r>
              <w:rPr>
                <w:b/>
                <w:i w:val="0"/>
                <w:color w:val="FFFFFF"/>
                <w:sz w:val="19"/>
              </w:rPr>
              <w:t>Actual</w:t>
            </w:r>
          </w:p>
        </w:tc>
        <w:tc>
          <w:tcPr>
            <w:tcW w:type="dxa" w:w="1930"/>
            <w:shd w:val="clear" w:color="auto" w:fill="1F3A5F"/>
          </w:tcPr>
          <w:p>
            <w:r/>
            <w:r>
              <w:rPr>
                <w:b/>
                <w:i w:val="0"/>
                <w:color w:val="FFFFFF"/>
                <w:sz w:val="19"/>
              </w:rPr>
              <w:t>Met?</w:t>
            </w:r>
          </w:p>
        </w:tc>
      </w:tr>
      <w:tr>
        <w:trPr>
          <w:trHeight w:val="432"/>
        </w:trPr>
        <w:tc>
          <w:tcPr>
            <w:tcW w:type="dxa" w:w="1930"/>
          </w:tcPr>
          <w:p>
            <w:r/>
            <w:r>
              <w:rPr>
                <w:b w:val="0"/>
                <w:i w:val="0"/>
                <w:sz w:val="19"/>
              </w:rPr>
              <w:t>Volunteer shifts booked online</w:t>
            </w:r>
          </w:p>
        </w:tc>
        <w:tc>
          <w:tcPr>
            <w:tcW w:type="dxa" w:w="1930"/>
          </w:tcPr>
          <w:p>
            <w:r/>
            <w:r>
              <w:rPr>
                <w:b w:val="0"/>
                <w:i w:val="0"/>
                <w:sz w:val="19"/>
              </w:rPr>
              <w:t>0%</w:t>
            </w:r>
          </w:p>
        </w:tc>
        <w:tc>
          <w:tcPr>
            <w:tcW w:type="dxa" w:w="1930"/>
          </w:tcPr>
          <w:p>
            <w:r/>
            <w:r>
              <w:rPr>
                <w:b w:val="0"/>
                <w:i w:val="0"/>
                <w:sz w:val="19"/>
              </w:rPr>
              <w:t>80% of shifts</w:t>
            </w:r>
          </w:p>
        </w:tc>
        <w:tc>
          <w:tcPr>
            <w:tcW w:type="dxa" w:w="1930"/>
          </w:tcPr>
          <w:p>
            <w:r/>
            <w:r>
              <w:rPr>
                <w:b w:val="0"/>
                <w:i w:val="0"/>
                <w:sz w:val="19"/>
              </w:rPr>
              <w:t>61% (three weeks after go-live)</w:t>
            </w:r>
          </w:p>
        </w:tc>
        <w:tc>
          <w:tcPr>
            <w:tcW w:type="dxa" w:w="1930"/>
          </w:tcPr>
          <w:p>
            <w:r/>
            <w:r>
              <w:rPr>
                <w:b w:val="0"/>
                <w:i w:val="0"/>
                <w:sz w:val="19"/>
              </w:rPr>
              <w:t>Not yet</w:t>
            </w:r>
          </w:p>
        </w:tc>
      </w:tr>
      <w:tr>
        <w:trPr>
          <w:trHeight w:val="432"/>
        </w:trPr>
        <w:tc>
          <w:tcPr>
            <w:tcW w:type="dxa" w:w="1930"/>
          </w:tcPr>
          <w:p>
            <w:r/>
            <w:r>
              <w:rPr>
                <w:b w:val="0"/>
                <w:i w:val="0"/>
                <w:sz w:val="19"/>
              </w:rPr>
              <w:t>Staff hours spent on scheduling</w:t>
            </w:r>
          </w:p>
        </w:tc>
        <w:tc>
          <w:tcPr>
            <w:tcW w:type="dxa" w:w="1930"/>
          </w:tcPr>
          <w:p>
            <w:r/>
            <w:r>
              <w:rPr>
                <w:b w:val="0"/>
                <w:i w:val="0"/>
                <w:sz w:val="19"/>
              </w:rPr>
              <w:t>22 hrs/week</w:t>
            </w:r>
          </w:p>
        </w:tc>
        <w:tc>
          <w:tcPr>
            <w:tcW w:type="dxa" w:w="1930"/>
          </w:tcPr>
          <w:p>
            <w:r/>
            <w:r>
              <w:rPr>
                <w:b w:val="0"/>
                <w:i w:val="0"/>
                <w:sz w:val="19"/>
              </w:rPr>
              <w:t>8 hrs/week or less</w:t>
            </w:r>
          </w:p>
        </w:tc>
        <w:tc>
          <w:tcPr>
            <w:tcW w:type="dxa" w:w="1930"/>
          </w:tcPr>
          <w:p>
            <w:r/>
            <w:r>
              <w:rPr>
                <w:b w:val="0"/>
                <w:i w:val="0"/>
                <w:sz w:val="19"/>
              </w:rPr>
              <w:t>11 hrs/week</w:t>
            </w:r>
          </w:p>
        </w:tc>
        <w:tc>
          <w:tcPr>
            <w:tcW w:type="dxa" w:w="1930"/>
          </w:tcPr>
          <w:p>
            <w:r/>
            <w:r>
              <w:rPr>
                <w:b w:val="0"/>
                <w:i w:val="0"/>
                <w:sz w:val="19"/>
              </w:rPr>
              <w:t>Not yet</w:t>
            </w:r>
          </w:p>
        </w:tc>
      </w:tr>
      <w:tr>
        <w:trPr>
          <w:trHeight w:val="432"/>
        </w:trPr>
        <w:tc>
          <w:tcPr>
            <w:tcW w:type="dxa" w:w="1930"/>
          </w:tcPr>
          <w:p>
            <w:r/>
            <w:r>
              <w:rPr>
                <w:b w:val="0"/>
                <w:i w:val="0"/>
                <w:sz w:val="19"/>
              </w:rPr>
              <w:t>Recurring donors</w:t>
            </w:r>
          </w:p>
        </w:tc>
        <w:tc>
          <w:tcPr>
            <w:tcW w:type="dxa" w:w="1930"/>
          </w:tcPr>
          <w:p>
            <w:r/>
            <w:r>
              <w:rPr>
                <w:b w:val="0"/>
                <w:i w:val="0"/>
                <w:sz w:val="19"/>
              </w:rPr>
              <w:t>310</w:t>
            </w:r>
          </w:p>
        </w:tc>
        <w:tc>
          <w:tcPr>
            <w:tcW w:type="dxa" w:w="1930"/>
          </w:tcPr>
          <w:p>
            <w:r/>
            <w:r>
              <w:rPr>
                <w:b w:val="0"/>
                <w:i w:val="0"/>
                <w:sz w:val="19"/>
              </w:rPr>
              <w:t>400 by October 2026</w:t>
            </w:r>
          </w:p>
        </w:tc>
        <w:tc>
          <w:tcPr>
            <w:tcW w:type="dxa" w:w="1930"/>
          </w:tcPr>
          <w:p>
            <w:r/>
            <w:r>
              <w:rPr>
                <w:b w:val="0"/>
                <w:i w:val="0"/>
                <w:sz w:val="19"/>
              </w:rPr>
              <w:t>327</w:t>
            </w:r>
          </w:p>
        </w:tc>
        <w:tc>
          <w:tcPr>
            <w:tcW w:type="dxa" w:w="1930"/>
          </w:tcPr>
          <w:p>
            <w:r/>
            <w:r>
              <w:rPr>
                <w:b w:val="0"/>
                <w:i w:val="0"/>
                <w:sz w:val="19"/>
              </w:rPr>
              <w:t>Not yet</w:t>
            </w:r>
          </w:p>
        </w:tc>
      </w:tr>
      <w:tr>
        <w:trPr>
          <w:trHeight w:val="432"/>
        </w:trPr>
        <w:tc>
          <w:tcPr>
            <w:tcW w:type="dxa" w:w="1930"/>
          </w:tcPr>
          <w:p>
            <w:r/>
            <w:r>
              <w:rPr>
                <w:b w:val="0"/>
                <w:i w:val="0"/>
                <w:sz w:val="19"/>
              </w:rPr>
              <w:t>Admin accounts using MFA</w:t>
            </w:r>
          </w:p>
        </w:tc>
        <w:tc>
          <w:tcPr>
            <w:tcW w:type="dxa" w:w="1930"/>
          </w:tcPr>
          <w:p>
            <w:r/>
            <w:r>
              <w:rPr>
                <w:b w:val="0"/>
                <w:i w:val="0"/>
                <w:sz w:val="19"/>
              </w:rPr>
              <w:t>0%</w:t>
            </w:r>
          </w:p>
        </w:tc>
        <w:tc>
          <w:tcPr>
            <w:tcW w:type="dxa" w:w="1930"/>
          </w:tcPr>
          <w:p>
            <w:r/>
            <w:r>
              <w:rPr>
                <w:b w:val="0"/>
                <w:i w:val="0"/>
                <w:sz w:val="19"/>
              </w:rPr>
              <w:t>100% at go-live</w:t>
            </w:r>
          </w:p>
        </w:tc>
        <w:tc>
          <w:tcPr>
            <w:tcW w:type="dxa" w:w="1930"/>
          </w:tcPr>
          <w:p>
            <w:r/>
            <w:r>
              <w:rPr>
                <w:b w:val="0"/>
                <w:i w:val="0"/>
                <w:sz w:val="19"/>
              </w:rPr>
              <w:t>100%</w:t>
            </w:r>
          </w:p>
        </w:tc>
        <w:tc>
          <w:tcPr>
            <w:tcW w:type="dxa" w:w="1930"/>
          </w:tcPr>
          <w:p>
            <w:r/>
            <w:r>
              <w:rPr>
                <w:b w:val="0"/>
                <w:i w:val="0"/>
                <w:sz w:val="19"/>
              </w:rPr>
              <w:t>Yes</w:t>
            </w:r>
          </w:p>
        </w:tc>
      </w:tr>
    </w:tbl>
    <w:p/>
    <w:p>
      <w:pPr>
        <w:pStyle w:val="Heading2"/>
      </w:pPr>
      <w:r>
        <w:t>3. Performance against baselines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1F3A5F"/>
          </w:tcPr>
          <w:p>
            <w:r/>
            <w:r>
              <w:rPr>
                <w:b/>
                <w:i w:val="0"/>
                <w:color w:val="FFFFFF"/>
                <w:sz w:val="19"/>
              </w:rPr>
              <w:t>Dimension</w:t>
            </w:r>
          </w:p>
        </w:tc>
        <w:tc>
          <w:tcPr>
            <w:tcW w:type="dxa" w:w="1930"/>
            <w:shd w:val="clear" w:color="auto" w:fill="1F3A5F"/>
          </w:tcPr>
          <w:p>
            <w:r/>
            <w:r>
              <w:rPr>
                <w:b/>
                <w:i w:val="0"/>
                <w:color w:val="FFFFFF"/>
                <w:sz w:val="19"/>
              </w:rPr>
              <w:t>Baseline</w:t>
            </w:r>
          </w:p>
        </w:tc>
        <w:tc>
          <w:tcPr>
            <w:tcW w:type="dxa" w:w="1930"/>
            <w:shd w:val="clear" w:color="auto" w:fill="1F3A5F"/>
          </w:tcPr>
          <w:p>
            <w:r/>
            <w:r>
              <w:rPr>
                <w:b/>
                <w:i w:val="0"/>
                <w:color w:val="FFFFFF"/>
                <w:sz w:val="19"/>
              </w:rPr>
              <w:t>Actual</w:t>
            </w:r>
          </w:p>
        </w:tc>
        <w:tc>
          <w:tcPr>
            <w:tcW w:type="dxa" w:w="1930"/>
            <w:shd w:val="clear" w:color="auto" w:fill="1F3A5F"/>
          </w:tcPr>
          <w:p>
            <w:r/>
            <w:r>
              <w:rPr>
                <w:b/>
                <w:i w:val="0"/>
                <w:color w:val="FFFFFF"/>
                <w:sz w:val="19"/>
              </w:rPr>
              <w:t>Variance</w:t>
            </w:r>
          </w:p>
        </w:tc>
        <w:tc>
          <w:tcPr>
            <w:tcW w:type="dxa" w:w="1930"/>
            <w:shd w:val="clear" w:color="auto" w:fill="1F3A5F"/>
          </w:tcPr>
          <w:p>
            <w:r/>
            <w:r>
              <w:rPr>
                <w:b/>
                <w:i w:val="0"/>
                <w:color w:val="FFFFFF"/>
                <w:sz w:val="19"/>
              </w:rPr>
              <w:t>Explanation</w:t>
            </w:r>
          </w:p>
        </w:tc>
      </w:tr>
      <w:tr>
        <w:trPr>
          <w:trHeight w:val="432"/>
        </w:trPr>
        <w:tc>
          <w:tcPr>
            <w:tcW w:type="dxa" w:w="1930"/>
          </w:tcPr>
          <w:p>
            <w:r/>
            <w:r>
              <w:rPr>
                <w:b w:val="0"/>
                <w:i w:val="0"/>
                <w:sz w:val="19"/>
              </w:rPr>
              <w:t>Scope</w:t>
            </w:r>
          </w:p>
        </w:tc>
        <w:tc>
          <w:tcPr>
            <w:tcW w:type="dxa" w:w="1930"/>
          </w:tcPr>
          <w:p>
            <w:r/>
            <w:r>
              <w:rPr>
                <w:b w:val="0"/>
                <w:i w:val="0"/>
                <w:sz w:val="19"/>
              </w:rPr>
              <w:t>9 committed requirements (R-01 to R-09)</w:t>
            </w:r>
          </w:p>
        </w:tc>
        <w:tc>
          <w:tcPr>
            <w:tcW w:type="dxa" w:w="1930"/>
          </w:tcPr>
          <w:p>
            <w:r/>
            <w:r>
              <w:rPr>
                <w:b w:val="0"/>
                <w:i w:val="0"/>
                <w:sz w:val="19"/>
              </w:rPr>
              <w:t>9 delivered</w:t>
            </w:r>
          </w:p>
        </w:tc>
        <w:tc>
          <w:tcPr>
            <w:tcW w:type="dxa" w:w="1930"/>
          </w:tcPr>
          <w:p>
            <w:r/>
            <w:r>
              <w:rPr>
                <w:b w:val="0"/>
                <w:i w:val="0"/>
                <w:sz w:val="19"/>
              </w:rPr>
              <w:t>0</w:t>
            </w:r>
          </w:p>
        </w:tc>
        <w:tc>
          <w:tcPr>
            <w:tcW w:type="dxa" w:w="1930"/>
          </w:tcPr>
          <w:p>
            <w:r/>
            <w:r>
              <w:rPr>
                <w:b w:val="0"/>
                <w:i w:val="0"/>
                <w:sz w:val="19"/>
              </w:rPr>
              <w:t>R-10 (text reminders) and gala ticketing (CR-002) were deferred to phase 2 by sponsor decision.</w:t>
            </w:r>
          </w:p>
        </w:tc>
      </w:tr>
      <w:tr>
        <w:trPr>
          <w:trHeight w:val="432"/>
        </w:trPr>
        <w:tc>
          <w:tcPr>
            <w:tcW w:type="dxa" w:w="1930"/>
          </w:tcPr>
          <w:p>
            <w:r/>
            <w:r>
              <w:rPr>
                <w:b w:val="0"/>
                <w:i w:val="0"/>
                <w:sz w:val="19"/>
              </w:rPr>
              <w:t>Finish date</w:t>
            </w:r>
          </w:p>
        </w:tc>
        <w:tc>
          <w:tcPr>
            <w:tcW w:type="dxa" w:w="1930"/>
          </w:tcPr>
          <w:p>
            <w:r/>
            <w:r>
              <w:rPr>
                <w:b w:val="0"/>
                <w:i w:val="0"/>
                <w:sz w:val="19"/>
              </w:rPr>
              <w:t>Go-live June 1; close by June 26, 2026</w:t>
            </w:r>
          </w:p>
        </w:tc>
        <w:tc>
          <w:tcPr>
            <w:tcW w:type="dxa" w:w="1930"/>
          </w:tcPr>
          <w:p>
            <w:r/>
            <w:r>
              <w:rPr>
                <w:b w:val="0"/>
                <w:i w:val="0"/>
                <w:sz w:val="19"/>
              </w:rPr>
              <w:t>Go-live June 1; closed June 22, 2026</w:t>
            </w:r>
          </w:p>
        </w:tc>
        <w:tc>
          <w:tcPr>
            <w:tcW w:type="dxa" w:w="1930"/>
          </w:tcPr>
          <w:p>
            <w:r/>
            <w:r>
              <w:rPr>
                <w:b w:val="0"/>
                <w:i w:val="0"/>
                <w:sz w:val="19"/>
              </w:rPr>
              <w:t>0 days on go-live; 4 days early on closure</w:t>
            </w:r>
          </w:p>
        </w:tc>
        <w:tc>
          <w:tcPr>
            <w:tcW w:type="dxa" w:w="1930"/>
          </w:tcPr>
          <w:p>
            <w:r/>
            <w:r>
              <w:rPr>
                <w:b w:val="0"/>
                <w:i w:val="0"/>
                <w:sz w:val="19"/>
              </w:rPr>
              <w:t>Sprint 4 started a week late because the CRM sandbox arrived late. The one-week buffer between the team’s plan and the committed date absorbed it.</w:t>
            </w:r>
          </w:p>
        </w:tc>
      </w:tr>
      <w:tr>
        <w:trPr>
          <w:trHeight w:val="432"/>
        </w:trPr>
        <w:tc>
          <w:tcPr>
            <w:tcW w:type="dxa" w:w="1930"/>
          </w:tcPr>
          <w:p>
            <w:r/>
            <w:r>
              <w:rPr>
                <w:b w:val="0"/>
                <w:i w:val="0"/>
                <w:sz w:val="19"/>
              </w:rPr>
              <w:t>Cost</w:t>
            </w:r>
          </w:p>
        </w:tc>
        <w:tc>
          <w:tcPr>
            <w:tcW w:type="dxa" w:w="1930"/>
          </w:tcPr>
          <w:p>
            <w:r/>
            <w:r>
              <w:rPr>
                <w:b w:val="0"/>
                <w:i w:val="0"/>
                <w:sz w:val="19"/>
              </w:rPr>
              <w:t>$185,000</w:t>
            </w:r>
          </w:p>
        </w:tc>
        <w:tc>
          <w:tcPr>
            <w:tcW w:type="dxa" w:w="1930"/>
          </w:tcPr>
          <w:p>
            <w:r/>
            <w:r>
              <w:rPr>
                <w:b w:val="0"/>
                <w:i w:val="0"/>
                <w:sz w:val="19"/>
              </w:rPr>
              <w:t>$169,400</w:t>
            </w:r>
          </w:p>
        </w:tc>
        <w:tc>
          <w:tcPr>
            <w:tcW w:type="dxa" w:w="1930"/>
          </w:tcPr>
          <w:p>
            <w:r/>
            <w:r>
              <w:rPr>
                <w:b w:val="0"/>
                <w:i w:val="0"/>
                <w:sz w:val="19"/>
              </w:rPr>
              <w:t>$15,600 under</w:t>
            </w:r>
          </w:p>
        </w:tc>
        <w:tc>
          <w:tcPr>
            <w:tcW w:type="dxa" w:w="1930"/>
          </w:tcPr>
          <w:p>
            <w:r/>
            <w:r>
              <w:rPr>
                <w:b w:val="0"/>
                <w:i w:val="0"/>
                <w:sz w:val="19"/>
              </w:rPr>
              <w:t>Planned lines cost $167,400. Two approved changes added $2,000 (CR-003, data-cleanup hours +$1,200; CR-004, analyst hours +$800), paid from the $17,000 reserve. The other $15,000 was not needed.</w:t>
            </w:r>
          </w:p>
        </w:tc>
      </w:tr>
      <w:tr>
        <w:trPr>
          <w:trHeight w:val="432"/>
        </w:trPr>
        <w:tc>
          <w:tcPr>
            <w:tcW w:type="dxa" w:w="1930"/>
          </w:tcPr>
          <w:p>
            <w:r/>
            <w:r>
              <w:rPr>
                <w:b w:val="0"/>
                <w:i w:val="0"/>
                <w:sz w:val="19"/>
              </w:rPr>
              <w:t>Quality</w:t>
            </w:r>
          </w:p>
        </w:tc>
        <w:tc>
          <w:tcPr>
            <w:tcW w:type="dxa" w:w="1930"/>
          </w:tcPr>
          <w:p>
            <w:r/>
            <w:r>
              <w:rPr>
                <w:b w:val="0"/>
                <w:i w:val="0"/>
                <w:sz w:val="19"/>
              </w:rPr>
              <w:t>Zero critical accessibility findings; no open Severity 1 or 2 defects at go-live</w:t>
            </w:r>
          </w:p>
        </w:tc>
        <w:tc>
          <w:tcPr>
            <w:tcW w:type="dxa" w:w="1930"/>
          </w:tcPr>
          <w:p>
            <w:r/>
            <w:r>
              <w:rPr>
                <w:b w:val="0"/>
                <w:i w:val="0"/>
                <w:sz w:val="19"/>
              </w:rPr>
              <w:t>Met</w:t>
            </w:r>
          </w:p>
        </w:tc>
        <w:tc>
          <w:tcPr>
            <w:tcW w:type="dxa" w:w="1930"/>
          </w:tcPr>
          <w:p>
            <w:r/>
            <w:r>
              <w:rPr>
                <w:b w:val="0"/>
                <w:i w:val="0"/>
                <w:sz w:val="19"/>
              </w:rPr>
              <w:t>None</w:t>
            </w:r>
          </w:p>
        </w:tc>
        <w:tc>
          <w:tcPr>
            <w:tcW w:type="dxa" w:w="1930"/>
          </w:tcPr>
          <w:p>
            <w:r/>
            <w:r>
              <w:rPr>
                <w:b w:val="0"/>
                <w:i w:val="0"/>
                <w:sz w:val="19"/>
              </w:rPr>
              <w:t>One high-severity penetration-test finding was fixed and retested before UAT.</w:t>
            </w:r>
          </w:p>
        </w:tc>
      </w:tr>
    </w:tbl>
    <w:p/>
    <w:p>
      <w:pPr>
        <w:pStyle w:val="Heading2"/>
      </w:pPr>
      <w:r>
        <w:t>4. Methodology</w:t>
      </w:r>
    </w:p>
    <w:p>
      <w:r>
        <w:rPr>
          <w:sz w:val="20"/>
        </w:rPr>
        <w:t>Hybrid delivery: a fixed milestone plan and budget, built in five two-week sprints with a sprint review at the end of each. Gates were the planning gate, the penetration test before UAT, and CAB approval before go-live. Medium-size tailoring: a scored RAID log reviewed every two weeks, a change request form with the sponsor approving above $1,000, and no quantitative risk analysis.</w:t>
      </w:r>
    </w:p>
    <w:p>
      <w:pPr>
        <w:pStyle w:val="Heading2"/>
      </w:pPr>
      <w:r>
        <w:t>5. What worked and lessons learned</w:t>
      </w:r>
    </w:p>
    <w:p>
      <w:pPr>
        <w:pStyle w:val="ListBullet"/>
      </w:pPr>
      <w:r>
        <w:rPr>
          <w:sz w:val="20"/>
        </w:rPr>
        <w:t>Hold requirements sessions where users work. Workshops at pantry sites found needs that office meetings missed. Recommendation: make on-site sessions the default for user-facing projects (L-01).</w:t>
      </w:r>
    </w:p>
    <w:p>
      <w:pPr>
        <w:pStyle w:val="ListBullet"/>
      </w:pPr>
      <w:r>
        <w:rPr>
          <w:sz w:val="20"/>
        </w:rPr>
        <w:t>Check source data early. The data-quality problem was assumed, not tested, and blocked migration for two weeks. Recommendation: profile source data during Planning and add the task to the WBS template (L-02).</w:t>
      </w:r>
    </w:p>
    <w:p>
      <w:pPr>
        <w:pStyle w:val="ListBullet"/>
      </w:pPr>
      <w:r>
        <w:rPr>
          <w:sz w:val="20"/>
        </w:rPr>
        <w:t>Keep the vendor in every ceremony. Sprint reviews with the vendor kept progress visible. Recommendation: write vendor attendance into the statement of work (L-03).</w:t>
      </w:r>
    </w:p>
    <w:p>
      <w:pPr>
        <w:pStyle w:val="ListBullet"/>
      </w:pPr>
      <w:r>
        <w:rPr>
          <w:sz w:val="20"/>
        </w:rPr>
        <w:t>Name third-party access in the contract. The CRM sandbox arrived 8 working days late. Recommendation: list needed-by dates for outside access in the SOW and ask for it at kickoff (L-04).</w:t>
      </w:r>
    </w:p>
    <w:p>
      <w:pPr>
        <w:pStyle w:val="ListBullet"/>
      </w:pPr>
      <w:r>
        <w:rPr>
          <w:sz w:val="20"/>
        </w:rPr>
        <w:t>Keep a buffer between the team’s plan and any date promised outside the team. It absorbed the Sprint 4 slip (L-05).</w:t>
      </w:r>
    </w:p>
    <w:p>
      <w:pPr>
        <w:pStyle w:val="ListBullet"/>
      </w:pPr>
      <w:r>
        <w:rPr>
          <w:sz w:val="20"/>
        </w:rPr>
        <w:t>Set adoption targets after the pilot, and name the post-launch owner in the charter (L-06). The full list is in the Lessons Learned Register (T19).</w:t>
      </w:r>
    </w:p>
    <w:p>
      <w:pPr>
        <w:pStyle w:val="Heading2"/>
      </w:pPr>
      <w:r>
        <w:t>6. Open items and handover</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F3A5F"/>
          </w:tcPr>
          <w:p>
            <w:r/>
            <w:r>
              <w:rPr>
                <w:b/>
                <w:i w:val="0"/>
                <w:color w:val="FFFFFF"/>
                <w:sz w:val="19"/>
              </w:rPr>
              <w:t>Open item</w:t>
            </w:r>
          </w:p>
        </w:tc>
        <w:tc>
          <w:tcPr>
            <w:tcW w:type="dxa" w:w="3216"/>
            <w:shd w:val="clear" w:color="auto" w:fill="1F3A5F"/>
          </w:tcPr>
          <w:p>
            <w:r/>
            <w:r>
              <w:rPr>
                <w:b/>
                <w:i w:val="0"/>
                <w:color w:val="FFFFFF"/>
                <w:sz w:val="19"/>
              </w:rPr>
              <w:t>New owner</w:t>
            </w:r>
          </w:p>
        </w:tc>
        <w:tc>
          <w:tcPr>
            <w:tcW w:type="dxa" w:w="3216"/>
            <w:shd w:val="clear" w:color="auto" w:fill="1F3A5F"/>
          </w:tcPr>
          <w:p>
            <w:r/>
            <w:r>
              <w:rPr>
                <w:b/>
                <w:i w:val="0"/>
                <w:color w:val="FFFFFF"/>
                <w:sz w:val="19"/>
              </w:rPr>
              <w:t>Due</w:t>
            </w:r>
          </w:p>
        </w:tc>
      </w:tr>
      <w:tr>
        <w:trPr>
          <w:trHeight w:val="432"/>
        </w:trPr>
        <w:tc>
          <w:tcPr>
            <w:tcW w:type="dxa" w:w="3216"/>
          </w:tcPr>
          <w:p>
            <w:r/>
            <w:r>
              <w:rPr>
                <w:b w:val="0"/>
                <w:i w:val="0"/>
                <w:sz w:val="19"/>
              </w:rPr>
              <w:t>Re-measure shift-booking and scheduling-hours targets and the recurring-donor count</w:t>
            </w:r>
          </w:p>
        </w:tc>
        <w:tc>
          <w:tcPr>
            <w:tcW w:type="dxa" w:w="3216"/>
          </w:tcPr>
          <w:p>
            <w:r/>
            <w:r>
              <w:rPr>
                <w:b w:val="0"/>
                <w:i w:val="0"/>
                <w:sz w:val="19"/>
              </w:rPr>
              <w:t>Priya Shah</w:t>
            </w:r>
          </w:p>
        </w:tc>
        <w:tc>
          <w:tcPr>
            <w:tcW w:type="dxa" w:w="3216"/>
          </w:tcPr>
          <w:p>
            <w:r/>
            <w:r>
              <w:rPr>
                <w:b w:val="0"/>
                <w:i w:val="0"/>
                <w:sz w:val="19"/>
              </w:rPr>
              <w:t>Oct 30, 2026</w:t>
            </w:r>
          </w:p>
        </w:tc>
      </w:tr>
      <w:tr>
        <w:trPr>
          <w:trHeight w:val="432"/>
        </w:trPr>
        <w:tc>
          <w:tcPr>
            <w:tcW w:type="dxa" w:w="3216"/>
          </w:tcPr>
          <w:p>
            <w:r/>
            <w:r>
              <w:rPr>
                <w:b w:val="0"/>
                <w:i w:val="0"/>
                <w:sz w:val="19"/>
              </w:rPr>
              <w:t>Decide phase 2 scope (gala ticketing, text reminders)</w:t>
            </w:r>
          </w:p>
        </w:tc>
        <w:tc>
          <w:tcPr>
            <w:tcW w:type="dxa" w:w="3216"/>
          </w:tcPr>
          <w:p>
            <w:r/>
            <w:r>
              <w:rPr>
                <w:b w:val="0"/>
                <w:i w:val="0"/>
                <w:sz w:val="19"/>
              </w:rPr>
              <w:t>Dana Ruiz</w:t>
            </w:r>
          </w:p>
        </w:tc>
        <w:tc>
          <w:tcPr>
            <w:tcW w:type="dxa" w:w="3216"/>
          </w:tcPr>
          <w:p>
            <w:r/>
            <w:r>
              <w:rPr>
                <w:b w:val="0"/>
                <w:i w:val="0"/>
                <w:sz w:val="19"/>
              </w:rPr>
              <w:t>Jul 31, 2026</w:t>
            </w:r>
          </w:p>
        </w:tc>
      </w:tr>
      <w:tr>
        <w:trPr>
          <w:trHeight w:val="432"/>
        </w:trPr>
        <w:tc>
          <w:tcPr>
            <w:tcW w:type="dxa" w:w="3216"/>
          </w:tcPr>
          <w:p>
            <w:r/>
            <w:r>
              <w:rPr>
                <w:b w:val="0"/>
                <w:i w:val="0"/>
                <w:sz w:val="19"/>
              </w:rPr>
              <w:t>Renew the portal platform subscription</w:t>
            </w:r>
          </w:p>
        </w:tc>
        <w:tc>
          <w:tcPr>
            <w:tcW w:type="dxa" w:w="3216"/>
          </w:tcPr>
          <w:p>
            <w:r/>
            <w:r>
              <w:rPr>
                <w:b w:val="0"/>
                <w:i w:val="0"/>
                <w:sz w:val="19"/>
              </w:rPr>
              <w:t>Kevin O’Neil</w:t>
            </w:r>
          </w:p>
        </w:tc>
        <w:tc>
          <w:tcPr>
            <w:tcW w:type="dxa" w:w="3216"/>
          </w:tcPr>
          <w:p>
            <w:r/>
            <w:r>
              <w:rPr>
                <w:b w:val="0"/>
                <w:i w:val="0"/>
                <w:sz w:val="19"/>
              </w:rPr>
              <w:t>May 31, 2027</w:t>
            </w:r>
          </w:p>
        </w:tc>
      </w:tr>
    </w:tbl>
    <w:p/>
    <w:p>
      <w:pPr>
        <w:pStyle w:val="Heading2"/>
      </w:pPr>
      <w:r>
        <w:t>7. Benefits still to be realized</w:t>
      </w:r>
    </w:p>
    <w:p>
      <w:r>
        <w:rPr>
          <w:sz w:val="20"/>
        </w:rPr>
        <w:t>Staff-time savings (target 8 hours a week or less), 80% of shifts booked online, and 400 recurring donors by October 2026. Priya Shah and Rosa Delgado measure them and report to Dana Ruiz in November 2026.</w:t>
      </w:r>
    </w:p>
    <w:p>
      <w:pPr>
        <w:pStyle w:val="Heading2"/>
      </w:pPr>
      <w:r>
        <w:t>8. Project documentation</w:t>
      </w:r>
    </w:p>
    <w:p>
      <w:r>
        <w:rPr>
          <w:sz w:val="20"/>
        </w:rPr>
        <w:t>The project repository (folders 00-Admin to 05-Closing), the vendor contract and the Project Workbook are archived in the Northside shared drive under Project Beacon, retained under the organization’s records policy.</w:t>
      </w:r>
    </w:p>
    <w:p>
      <w:pPr>
        <w:pStyle w:val="Heading2"/>
      </w:pPr>
      <w:r>
        <w:t>9. Approval to close</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1F3A5F"/>
          </w:tcPr>
          <w:p>
            <w:r/>
            <w:r>
              <w:rPr>
                <w:b/>
                <w:i w:val="0"/>
                <w:color w:val="FFFFFF"/>
                <w:sz w:val="19"/>
              </w:rPr>
              <w:t>Role</w:t>
            </w:r>
          </w:p>
        </w:tc>
        <w:tc>
          <w:tcPr>
            <w:tcW w:type="dxa" w:w="2412"/>
            <w:shd w:val="clear" w:color="auto" w:fill="1F3A5F"/>
          </w:tcPr>
          <w:p>
            <w:r/>
            <w:r>
              <w:rPr>
                <w:b/>
                <w:i w:val="0"/>
                <w:color w:val="FFFFFF"/>
                <w:sz w:val="19"/>
              </w:rPr>
              <w:t>Name</w:t>
            </w:r>
          </w:p>
        </w:tc>
        <w:tc>
          <w:tcPr>
            <w:tcW w:type="dxa" w:w="2412"/>
            <w:shd w:val="clear" w:color="auto" w:fill="1F3A5F"/>
          </w:tcPr>
          <w:p>
            <w:r/>
            <w:r>
              <w:rPr>
                <w:b/>
                <w:i w:val="0"/>
                <w:color w:val="FFFFFF"/>
                <w:sz w:val="19"/>
              </w:rPr>
              <w:t>Signature / approval method</w:t>
            </w:r>
          </w:p>
        </w:tc>
        <w:tc>
          <w:tcPr>
            <w:tcW w:type="dxa" w:w="2412"/>
            <w:shd w:val="clear" w:color="auto" w:fill="1F3A5F"/>
          </w:tcPr>
          <w:p>
            <w:r/>
            <w:r>
              <w:rPr>
                <w:b/>
                <w:i w:val="0"/>
                <w:color w:val="FFFFFF"/>
                <w:sz w:val="19"/>
              </w:rPr>
              <w:t>Date</w:t>
            </w:r>
          </w:p>
        </w:tc>
      </w:tr>
      <w:tr>
        <w:trPr>
          <w:trHeight w:val="432"/>
        </w:trPr>
        <w:tc>
          <w:tcPr>
            <w:tcW w:type="dxa" w:w="2412"/>
          </w:tcPr>
          <w:p>
            <w:r/>
            <w:r>
              <w:rPr>
                <w:b w:val="0"/>
                <w:i w:val="0"/>
                <w:sz w:val="19"/>
              </w:rPr>
              <w:t>Sponsor</w:t>
            </w:r>
          </w:p>
        </w:tc>
        <w:tc>
          <w:tcPr>
            <w:tcW w:type="dxa" w:w="2412"/>
          </w:tcPr>
          <w:p>
            <w:r/>
            <w:r>
              <w:rPr>
                <w:b w:val="0"/>
                <w:i w:val="0"/>
                <w:sz w:val="19"/>
              </w:rPr>
              <w:t>Dana Ruiz</w:t>
            </w:r>
          </w:p>
        </w:tc>
        <w:tc>
          <w:tcPr>
            <w:tcW w:type="dxa" w:w="2412"/>
          </w:tcPr>
          <w:p>
            <w:r/>
            <w:r>
              <w:rPr>
                <w:b w:val="0"/>
                <w:i w:val="0"/>
                <w:sz w:val="19"/>
              </w:rPr>
              <w:t>Email approval</w:t>
            </w:r>
          </w:p>
        </w:tc>
        <w:tc>
          <w:tcPr>
            <w:tcW w:type="dxa" w:w="2412"/>
          </w:tcPr>
          <w:p>
            <w:r/>
            <w:r>
              <w:rPr>
                <w:b w:val="0"/>
                <w:i w:val="0"/>
                <w:sz w:val="19"/>
              </w:rPr>
              <w:t>Jun 22, 2026</w:t>
            </w:r>
          </w:p>
        </w:tc>
      </w:tr>
      <w:tr>
        <w:trPr>
          <w:trHeight w:val="432"/>
        </w:trPr>
        <w:tc>
          <w:tcPr>
            <w:tcW w:type="dxa" w:w="2412"/>
          </w:tcPr>
          <w:p>
            <w:r/>
            <w:r>
              <w:rPr>
                <w:b w:val="0"/>
                <w:i w:val="0"/>
                <w:sz w:val="19"/>
              </w:rPr>
              <w:t>Project Manager</w:t>
            </w:r>
          </w:p>
        </w:tc>
        <w:tc>
          <w:tcPr>
            <w:tcW w:type="dxa" w:w="2412"/>
          </w:tcPr>
          <w:p>
            <w:r/>
            <w:r>
              <w:rPr>
                <w:b w:val="0"/>
                <w:i w:val="0"/>
                <w:sz w:val="19"/>
              </w:rPr>
              <w:t>Marcus Lee</w:t>
            </w:r>
          </w:p>
        </w:tc>
        <w:tc>
          <w:tcPr>
            <w:tcW w:type="dxa" w:w="2412"/>
          </w:tcPr>
          <w:p>
            <w:r/>
            <w:r>
              <w:rPr>
                <w:b w:val="0"/>
                <w:i w:val="0"/>
                <w:sz w:val="19"/>
              </w:rPr>
              <w:t>Email approval</w:t>
            </w:r>
          </w:p>
        </w:tc>
        <w:tc>
          <w:tcPr>
            <w:tcW w:type="dxa" w:w="2412"/>
          </w:tcPr>
          <w:p>
            <w:r/>
            <w:r>
              <w:rPr>
                <w:b w:val="0"/>
                <w:i w:val="0"/>
                <w:sz w:val="19"/>
              </w:rPr>
              <w:t>Jun 22, 2026</w:t>
            </w:r>
          </w:p>
        </w:tc>
      </w:tr>
      <w:tr>
        <w:tc>
          <w:tcPr>
            <w:tcW w:type="dxa" w:w="2412"/>
          </w:tcPr>
          <w:p/>
        </w:tc>
        <w:tc>
          <w:tcPr>
            <w:tcW w:type="dxa" w:w="2412"/>
          </w:tcPr>
          <w:p/>
        </w:tc>
        <w:tc>
          <w:tcPr>
            <w:tcW w:type="dxa" w:w="2412"/>
          </w:tcPr>
          <w:p/>
        </w:tc>
        <w:tc>
          <w:tcPr>
            <w:tcW w:type="dxa" w:w="2412"/>
          </w:tcPr>
          <w:p/>
        </w:tc>
      </w:tr>
    </w:tbl>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B7280"/>
        <w:sz w:val="15"/>
      </w:rPr>
      <w:t xml:space="preserve">“Project Manager in a Box” by James Pearson, licensed under CC BY-NC-SA 4.0 (https://creativecommons.org/licenses/by-nc-sa/4.0/).  Version 0.1 (prototype), October 2026. Latest version: </w:t>
    </w:r>
    <w:hyperlink r:id="rId1">
      <w:r>
        <w:rPr>
          <w:rStyle w:val="Hyperlink"/>
          <w:color w:val="0563C1"/>
          <w:u w:val="single"/>
          <w:sz w:val="15"/>
        </w:rPr>
        <w:t>github.com/james-s-pearson/Cybersecurity-Portfolio/tree/main/project-manager-in-a-box</w:t>
      </w:r>
    </w:hyperlink>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github.com/james-s-pearson/Cybersecurity-Portfolio/tree/main/project-manager-in-a-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Closeout &amp; Impact Report</dc:title>
  <dc:subject/>
  <dc:creator>James Pearson</dc:creator>
  <cp:keywords/>
  <dc:description/>
  <cp:lastModifiedBy/>
  <cp:revision>1</cp:revision>
  <dcterms:created xsi:type="dcterms:W3CDTF">2026-10-28T00:53:21Z</dcterms:created>
  <dcterms:modified xsi:type="dcterms:W3CDTF">2026-10-28T00:53:21Z</dcterms:modified>
  <cp:category/>
</cp:coreProperties>
</file>