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Relocating to Calgary, AB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and customer experience platforms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growth, while also architecting AI-enabled contact centre integrations (Amazon Connect, AWS Bedrock) and ServiceNow-based customer service workflows across a suite of products serving millions of commercial banking customers.</w:t>
      </w:r>
      <w:r>
        <w:t xml:space="preserve"> </w:t>
      </w:r>
      <w:r>
        <w:t xml:space="preserve">Relocating to Calgary, AB.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Amazon Connect contact-centre integrations for commercial banking customer support, including a TransUnion caller-verification service to detect call spoofing/fraud and a Contact Lens transcript-analysis pipeline powered by AWS Bedrock (GenAI) for automated call quality and insights</w:t>
      </w:r>
    </w:p>
    <w:p>
      <w:pPr>
        <w:numPr>
          <w:ilvl w:val="0"/>
          <w:numId w:val="1002"/>
        </w:numPr>
      </w:pPr>
      <w:r>
        <w:t xml:space="preserve">As dev lead, integrated OLBB applications with ServiceNow customer service workflows,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2026-09-14T00:47:44Z</dcterms:created>
  <dcterms:modified xsi:type="dcterms:W3CDTF">2026-09-14T00:47:44Z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