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 across a suite of products serving millions of commercial banking customers.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 (2–18)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Fast and Simple Meeting Invitations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— Threshold voting application for meeting link coordination; lightweight full-stack SaaS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1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2" w:name="extra--curriculars"/>
      <w:r>
        <w:t xml:space="preserve">EXTRA-</w:t>
      </w:r>
      <w:r>
        <w:br/>
      </w:r>
      <w:r>
        <w:t xml:space="preserve">CURRICULARS</w:t>
      </w:r>
      <w:bookmarkEnd w:id="52"/>
    </w:p>
    <w:p>
      <w:pPr>
        <w:numPr>
          <w:ilvl w:val="0"/>
          <w:numId w:val="1009"/>
        </w:numPr>
      </w:pPr>
      <w:hyperlink r:id="rId53">
        <w:r>
          <w:rPr>
            <w:rStyle w:val="Hyperlink"/>
          </w:rPr>
          <w:t xml:space="preserve">Waterloop</w:t>
        </w:r>
      </w:hyperlink>
      <w:r>
        <w:t xml:space="preserve"> </w:t>
      </w:r>
      <w:r>
        <w:t xml:space="preserve">- Team Leader Magnetic Wheel. Competed at SpaceX</w:t>
      </w:r>
      <w:r>
        <w:t xml:space="preserve"> </w:t>
      </w:r>
      <w:hyperlink r:id="rId54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5" w:name="publications"/>
      <w:r>
        <w:t xml:space="preserve">PUBLICATIONS</w:t>
      </w:r>
      <w:bookmarkEnd w:id="55"/>
    </w:p>
    <w:p>
      <w:pPr>
        <w:numPr>
          <w:ilvl w:val="0"/>
          <w:numId w:val="1010"/>
        </w:numPr>
      </w:pPr>
      <w:hyperlink r:id="rId56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7" w:name="awards"/>
      <w:r>
        <w:t xml:space="preserve">AWARDS</w:t>
      </w:r>
      <w:bookmarkEnd w:id="57"/>
    </w:p>
    <w:p>
      <w:pPr>
        <w:numPr>
          <w:ilvl w:val="0"/>
          <w:numId w:val="1011"/>
        </w:numPr>
      </w:pPr>
      <w:hyperlink r:id="rId58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4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3" Target="https://teamwaterloop.ca/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8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6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4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3" Target="https://teamwaterloop.ca/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8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6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2026-06-15T18:02:18Z</dcterms:created>
  <dcterms:modified xsi:type="dcterms:W3CDTF">2026-06-15T18:02:18Z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