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Supplementary Information</w:t>
      </w:r>
    </w:p>
    <w:p w:rsidR="00000000" w:rsidDel="00000000" w:rsidP="00000000" w:rsidRDefault="00000000" w:rsidRPr="00000000" w14:paraId="00000002">
      <w:pPr>
        <w:spacing w:after="120" w:before="120" w:line="360" w:lineRule="auto"/>
        <w:rPr>
          <w:rFonts w:ascii="Arial" w:cs="Arial" w:eastAsia="Arial" w:hAnsi="Arial"/>
          <w:b w:val="1"/>
        </w:rPr>
      </w:pPr>
      <w:r w:rsidDel="00000000" w:rsidR="00000000" w:rsidRPr="00000000">
        <w:rPr>
          <w:rFonts w:ascii="Arial" w:cs="Arial" w:eastAsia="Arial" w:hAnsi="Arial"/>
          <w:b w:val="1"/>
          <w:rtl w:val="0"/>
        </w:rPr>
        <w:t xml:space="preserve">exSEEK: a computational tool of exRNA biomarker detection for liquid biopsy</w:t>
      </w:r>
    </w:p>
    <w:p w:rsidR="00000000" w:rsidDel="00000000" w:rsidP="00000000" w:rsidRDefault="00000000" w:rsidRPr="00000000" w14:paraId="0000000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sdt>
      <w:sdtPr>
        <w:docPartObj>
          <w:docPartGallery w:val="Table of Contents"/>
          <w:docPartUnique w:val="1"/>
        </w:docPartObj>
      </w:sdtPr>
      <w:sdtContent>
        <w:p w:rsidR="00000000" w:rsidDel="00000000" w:rsidP="00000000" w:rsidRDefault="00000000" w:rsidRPr="00000000" w14:paraId="00000004">
          <w:pPr>
            <w:tabs>
              <w:tab w:val="right" w:pos="8310"/>
            </w:tabs>
            <w:spacing w:before="80" w:lineRule="auto"/>
            <w:rPr>
              <w:rFonts w:ascii="Cambria" w:cs="Cambria" w:eastAsia="Cambria" w:hAnsi="Cambria"/>
            </w:rPr>
          </w:pPr>
          <w:r w:rsidDel="00000000" w:rsidR="00000000" w:rsidRPr="00000000">
            <w:fldChar w:fldCharType="begin"/>
            <w:instrText xml:space="preserve"> TOC \h \u \z </w:instrText>
            <w:fldChar w:fldCharType="separate"/>
          </w:r>
          <w:hyperlink w:anchor="_30j0zll">
            <w:r w:rsidDel="00000000" w:rsidR="00000000" w:rsidRPr="00000000">
              <w:rPr>
                <w:rFonts w:ascii="Cambria" w:cs="Cambria" w:eastAsia="Cambria" w:hAnsi="Cambria"/>
                <w:b w:val="1"/>
                <w:rtl w:val="0"/>
              </w:rPr>
              <w:t xml:space="preserve">Supplementary Figures</w:t>
            </w:r>
          </w:hyperlink>
          <w:r w:rsidDel="00000000" w:rsidR="00000000" w:rsidRPr="00000000">
            <w:rPr>
              <w:rFonts w:ascii="Cambria" w:cs="Cambria" w:eastAsia="Cambria" w:hAnsi="Cambria"/>
              <w:b w:val="1"/>
              <w:rtl w:val="0"/>
            </w:rPr>
            <w:tab/>
          </w:r>
          <w:r w:rsidDel="00000000" w:rsidR="00000000" w:rsidRPr="00000000">
            <w:fldChar w:fldCharType="begin"/>
            <w:instrText xml:space="preserve"> PAGEREF _30j0zll \h </w:instrText>
            <w:fldChar w:fldCharType="separate"/>
          </w:r>
          <w:r w:rsidDel="00000000" w:rsidR="00000000" w:rsidRPr="00000000">
            <w:rPr>
              <w:rFonts w:ascii="Cambria" w:cs="Cambria" w:eastAsia="Cambria" w:hAnsi="Cambria"/>
              <w:b w:val="1"/>
              <w:rtl w:val="0"/>
            </w:rPr>
            <w:t xml:space="preserve">1</w:t>
          </w:r>
          <w:r w:rsidDel="00000000" w:rsidR="00000000" w:rsidRPr="00000000">
            <w:fldChar w:fldCharType="begin"/>
            <w:instrText xml:space="preserve"> HYPERLINK \l "_30j0zll"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8310"/>
            </w:tabs>
            <w:spacing w:before="60" w:lineRule="auto"/>
            <w:ind w:left="360"/>
            <w:rPr>
              <w:rFonts w:ascii="Times New Roman" w:cs="Times New Roman" w:eastAsia="Times New Roman" w:hAnsi="Times New Roman"/>
              <w:color w:val="000000"/>
            </w:rPr>
          </w:pPr>
          <w:r w:rsidDel="00000000" w:rsidR="00000000" w:rsidRPr="00000000">
            <w:fldChar w:fldCharType="end"/>
          </w:r>
          <w:hyperlink w:anchor="_3znysh7">
            <w:r w:rsidDel="00000000" w:rsidR="00000000" w:rsidRPr="00000000">
              <w:rPr>
                <w:rFonts w:ascii="Times New Roman" w:cs="Times New Roman" w:eastAsia="Times New Roman" w:hAnsi="Times New Roman"/>
                <w:color w:val="000000"/>
                <w:rtl w:val="0"/>
              </w:rPr>
              <w:t xml:space="preserve">Supplementary figure 1 | </w:t>
            </w:r>
          </w:hyperlink>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06">
          <w:pPr>
            <w:tabs>
              <w:tab w:val="right" w:pos="8310"/>
            </w:tabs>
            <w:spacing w:before="60" w:lineRule="auto"/>
            <w:ind w:left="360"/>
            <w:rPr>
              <w:rFonts w:ascii="Times New Roman" w:cs="Times New Roman" w:eastAsia="Times New Roman" w:hAnsi="Times New Roman"/>
              <w:color w:val="000000"/>
            </w:rPr>
          </w:pPr>
          <w:hyperlink w:anchor="_2et92p0">
            <w:r w:rsidDel="00000000" w:rsidR="00000000" w:rsidRPr="00000000">
              <w:rPr>
                <w:rFonts w:ascii="Times New Roman" w:cs="Times New Roman" w:eastAsia="Times New Roman" w:hAnsi="Times New Roman"/>
                <w:color w:val="000000"/>
                <w:rtl w:val="0"/>
              </w:rPr>
              <w:t xml:space="preserve">Supplementary figure 2 | </w:t>
            </w:r>
          </w:hyperlink>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07">
          <w:pPr>
            <w:tabs>
              <w:tab w:val="right" w:pos="8310"/>
            </w:tabs>
            <w:spacing w:before="200" w:lineRule="auto"/>
            <w:rPr>
              <w:rFonts w:ascii="Times New Roman" w:cs="Times New Roman" w:eastAsia="Times New Roman" w:hAnsi="Times New Roman"/>
              <w:color w:val="000000"/>
            </w:rPr>
          </w:pPr>
          <w:hyperlink w:anchor="_3dy6vkm">
            <w:r w:rsidDel="00000000" w:rsidR="00000000" w:rsidRPr="00000000">
              <w:rPr>
                <w:rFonts w:ascii="Times New Roman" w:cs="Times New Roman" w:eastAsia="Times New Roman" w:hAnsi="Times New Roman"/>
                <w:color w:val="000000"/>
                <w:rtl w:val="0"/>
              </w:rPr>
              <w:t xml:space="preserve">Supplementary Notes</w:t>
            </w:r>
          </w:hyperlink>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08">
          <w:pPr>
            <w:tabs>
              <w:tab w:val="right" w:pos="8310"/>
            </w:tabs>
            <w:spacing w:before="60" w:lineRule="auto"/>
            <w:ind w:left="360"/>
            <w:rPr>
              <w:rFonts w:ascii="Times New Roman" w:cs="Times New Roman" w:eastAsia="Times New Roman" w:hAnsi="Times New Roman"/>
              <w:color w:val="000000"/>
            </w:rPr>
          </w:pPr>
          <w:hyperlink w:anchor="_1t3h5sf">
            <w:r w:rsidDel="00000000" w:rsidR="00000000" w:rsidRPr="00000000">
              <w:rPr>
                <w:rFonts w:ascii="Times New Roman" w:cs="Times New Roman" w:eastAsia="Times New Roman" w:hAnsi="Times New Roman"/>
                <w:color w:val="000000"/>
                <w:rtl w:val="0"/>
              </w:rPr>
              <w:t xml:space="preserve">Supplementary Note 1 | Illustration of variance score,  b and w</w:t>
            </w:r>
          </w:hyperlink>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09">
          <w:pPr>
            <w:tabs>
              <w:tab w:val="right" w:pos="8310"/>
            </w:tabs>
            <w:spacing w:before="60" w:lineRule="auto"/>
            <w:ind w:left="360"/>
            <w:rPr>
              <w:rFonts w:ascii="Times New Roman" w:cs="Times New Roman" w:eastAsia="Times New Roman" w:hAnsi="Times New Roman"/>
              <w:color w:val="000000"/>
            </w:rPr>
          </w:pPr>
          <w:hyperlink w:anchor="_4d34og8">
            <w:r w:rsidDel="00000000" w:rsidR="00000000" w:rsidRPr="00000000">
              <w:rPr>
                <w:rFonts w:ascii="Times New Roman" w:cs="Times New Roman" w:eastAsia="Times New Roman" w:hAnsi="Times New Roman"/>
                <w:color w:val="000000"/>
                <w:rtl w:val="0"/>
              </w:rPr>
              <w:t xml:space="preserve">Supplementary Note 2 | Technical notes on variance explained</w:t>
            </w:r>
          </w:hyperlink>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0A">
          <w:pPr>
            <w:tabs>
              <w:tab w:val="right" w:pos="8310"/>
            </w:tabs>
            <w:spacing w:after="80" w:before="200" w:lineRule="auto"/>
            <w:rPr>
              <w:rFonts w:ascii="Times New Roman" w:cs="Times New Roman" w:eastAsia="Times New Roman" w:hAnsi="Times New Roman"/>
              <w:color w:val="000000"/>
            </w:rPr>
          </w:pPr>
          <w:bookmarkStart w:colFirst="0" w:colLast="0" w:name="_gjdgxs" w:id="0"/>
          <w:bookmarkEnd w:id="0"/>
          <w:hyperlink w:anchor="_2s8eyo1">
            <w:r w:rsidDel="00000000" w:rsidR="00000000" w:rsidRPr="00000000">
              <w:rPr>
                <w:rFonts w:ascii="Times New Roman" w:cs="Times New Roman" w:eastAsia="Times New Roman" w:hAnsi="Times New Roman"/>
                <w:color w:val="000000"/>
                <w:rtl w:val="0"/>
              </w:rPr>
              <w:t xml:space="preserve">Supplementary References</w:t>
            </w:r>
          </w:hyperlink>
          <w:r w:rsidDel="00000000" w:rsidR="00000000" w:rsidRPr="00000000">
            <w:rPr>
              <w:rFonts w:ascii="Times New Roman" w:cs="Times New Roman" w:eastAsia="Times New Roman" w:hAnsi="Times New Roman"/>
              <w:color w:val="000000"/>
              <w:rtl w:val="0"/>
            </w:rPr>
            <w:tab/>
          </w:r>
          <w:r w:rsidDel="00000000" w:rsidR="00000000" w:rsidRPr="00000000">
            <w:fldChar w:fldCharType="end"/>
          </w:r>
        </w:p>
      </w:sdtContent>
    </w:sdt>
    <w:p w:rsidR="00000000" w:rsidDel="00000000" w:rsidP="00000000" w:rsidRDefault="00000000" w:rsidRPr="00000000" w14:paraId="0000000B">
      <w:pPr>
        <w:pStyle w:val="Heading1"/>
        <w:spacing w:line="360" w:lineRule="auto"/>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line="360" w:lineRule="auto"/>
        <w:rPr/>
      </w:pPr>
      <w:bookmarkStart w:colFirst="0" w:colLast="0" w:name="_1fob9te" w:id="2"/>
      <w:bookmarkEnd w:id="2"/>
      <w:r w:rsidDel="00000000" w:rsidR="00000000" w:rsidRPr="00000000">
        <w:rPr>
          <w:rtl w:val="0"/>
        </w:rPr>
        <w:t xml:space="preserve">Supplementary Figures</w:t>
      </w:r>
    </w:p>
    <w:p w:rsidR="00000000" w:rsidDel="00000000" w:rsidP="00000000" w:rsidRDefault="00000000" w:rsidRPr="00000000" w14:paraId="0000000D">
      <w:pPr>
        <w:jc w:val="center"/>
        <w:rPr/>
      </w:pPr>
      <w:r w:rsidDel="00000000" w:rsidR="00000000" w:rsidRPr="00000000">
        <w:rPr/>
        <w:drawing>
          <wp:inline distB="0" distT="0" distL="0" distR="0">
            <wp:extent cx="4919663" cy="2835227"/>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919663" cy="283522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spacing w:line="360" w:lineRule="auto"/>
        <w:rPr/>
      </w:pPr>
      <w:r w:rsidDel="00000000" w:rsidR="00000000" w:rsidRPr="00000000">
        <w:rPr>
          <w:rtl w:val="0"/>
        </w:rPr>
        <w:t xml:space="preserve">Supplementary figure 1 | Summary of S-cfRNA-seq data mapping</w:t>
      </w:r>
    </w:p>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Some summary plot of dataset GSE123973 </w:t>
      </w: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Pie plot of different RNA mapping ratios; </w:t>
      </w: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Length distribution of different RNAs; </w:t>
      </w:r>
      <w:r w:rsidDel="00000000" w:rsidR="00000000" w:rsidRPr="00000000">
        <w:rPr>
          <w:rFonts w:ascii="Arial" w:cs="Arial" w:eastAsia="Arial" w:hAnsi="Arial"/>
          <w:b w:val="1"/>
          <w:sz w:val="20"/>
          <w:szCs w:val="20"/>
          <w:rtl w:val="0"/>
        </w:rPr>
        <w:t xml:space="preserve">(C) </w:t>
      </w:r>
      <w:r w:rsidDel="00000000" w:rsidR="00000000" w:rsidRPr="00000000">
        <w:rPr>
          <w:rFonts w:ascii="Arial" w:cs="Arial" w:eastAsia="Arial" w:hAnsi="Arial"/>
          <w:sz w:val="20"/>
          <w:szCs w:val="20"/>
          <w:rtl w:val="0"/>
        </w:rPr>
        <w:t xml:space="preserve">Box plot of different RNAs mapping ratio; </w:t>
      </w:r>
      <w:r w:rsidDel="00000000" w:rsidR="00000000" w:rsidRPr="00000000">
        <w:rPr>
          <w:rFonts w:ascii="Arial" w:cs="Arial" w:eastAsia="Arial" w:hAnsi="Arial"/>
          <w:b w:val="1"/>
          <w:sz w:val="20"/>
          <w:szCs w:val="20"/>
          <w:rtl w:val="0"/>
        </w:rPr>
        <w:t xml:space="preserve">(D)</w:t>
      </w:r>
      <w:r w:rsidDel="00000000" w:rsidR="00000000" w:rsidRPr="00000000">
        <w:rPr>
          <w:rFonts w:ascii="Arial" w:cs="Arial" w:eastAsia="Arial" w:hAnsi="Arial"/>
          <w:sz w:val="20"/>
          <w:szCs w:val="20"/>
          <w:rtl w:val="0"/>
        </w:rPr>
        <w:t xml:space="preserve"> Stack bar plot of each samples’ different RNAs’ mapping ratio.</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0" distT="0" distL="0" distR="0">
            <wp:extent cx="4811577" cy="4500563"/>
            <wp:effectExtent b="0" l="0" r="0" t="0"/>
            <wp:docPr id="1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811577" cy="450056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spacing w:line="360" w:lineRule="auto"/>
        <w:rPr/>
      </w:pPr>
      <w:r w:rsidDel="00000000" w:rsidR="00000000" w:rsidRPr="00000000">
        <w:rPr>
          <w:rtl w:val="0"/>
        </w:rPr>
        <w:t xml:space="preserve">Supplementary figure 2 | Summary of S-cfRNA-seq data differential expression analysis</w:t>
      </w:r>
    </w:p>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We did differential analysis on dataset GSE123973 for cancer HCC and HCC stage 1 with healthy control. </w:t>
      </w: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Volcano plot of each genes’ log2 fold change and -log10 adjusted p value; </w:t>
      </w: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Top 10 differentially expressed genes’ fold change, expression value (in log CPM) and their’ -log10 adjusted p value; </w:t>
      </w:r>
      <w:r w:rsidDel="00000000" w:rsidR="00000000" w:rsidRPr="00000000">
        <w:rPr>
          <w:rFonts w:ascii="Arial" w:cs="Arial" w:eastAsia="Arial" w:hAnsi="Arial"/>
          <w:b w:val="1"/>
          <w:sz w:val="20"/>
          <w:szCs w:val="20"/>
          <w:rtl w:val="0"/>
        </w:rPr>
        <w:t xml:space="preserve">(C) </w:t>
      </w:r>
      <w:r w:rsidDel="00000000" w:rsidR="00000000" w:rsidRPr="00000000">
        <w:rPr>
          <w:rFonts w:ascii="Arial" w:cs="Arial" w:eastAsia="Arial" w:hAnsi="Arial"/>
          <w:sz w:val="20"/>
          <w:szCs w:val="20"/>
          <w:rtl w:val="0"/>
        </w:rPr>
        <w:t xml:space="preserve">Clustermap of top differentially expressed genes to show their ability to classify cancers from healthy control samples.</w:t>
      </w:r>
    </w:p>
    <w:p w:rsidR="00000000" w:rsidDel="00000000" w:rsidP="00000000" w:rsidRDefault="00000000" w:rsidRPr="00000000" w14:paraId="0000001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0" distT="0" distL="0" distR="0">
            <wp:extent cx="4944031" cy="2986088"/>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944031"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spacing w:line="360" w:lineRule="auto"/>
        <w:rPr/>
      </w:pPr>
      <w:r w:rsidDel="00000000" w:rsidR="00000000" w:rsidRPr="00000000">
        <w:rPr>
          <w:rtl w:val="0"/>
        </w:rPr>
        <w:t xml:space="preserve">Supplementary figure 3 | Summary of S-exoRNA-seq data mapping</w:t>
      </w:r>
    </w:p>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Some summary plot of dataset GSE71008.</w:t>
      </w:r>
      <w:r w:rsidDel="00000000" w:rsidR="00000000" w:rsidRPr="00000000">
        <w:rPr>
          <w:rtl w:val="0"/>
        </w:rPr>
        <w:t xml:space="preserve"> </w:t>
      </w: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Pie plot of different RNA mapping ratios; </w:t>
      </w: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Length distribution of different RNAs; </w:t>
      </w:r>
      <w:r w:rsidDel="00000000" w:rsidR="00000000" w:rsidRPr="00000000">
        <w:rPr>
          <w:rFonts w:ascii="Arial" w:cs="Arial" w:eastAsia="Arial" w:hAnsi="Arial"/>
          <w:b w:val="1"/>
          <w:sz w:val="20"/>
          <w:szCs w:val="20"/>
          <w:rtl w:val="0"/>
        </w:rPr>
        <w:t xml:space="preserve">(C) </w:t>
      </w:r>
      <w:r w:rsidDel="00000000" w:rsidR="00000000" w:rsidRPr="00000000">
        <w:rPr>
          <w:rFonts w:ascii="Arial" w:cs="Arial" w:eastAsia="Arial" w:hAnsi="Arial"/>
          <w:sz w:val="20"/>
          <w:szCs w:val="20"/>
          <w:rtl w:val="0"/>
        </w:rPr>
        <w:t xml:space="preserve">Box plot of different RNAs mapping ratio; </w:t>
      </w:r>
      <w:r w:rsidDel="00000000" w:rsidR="00000000" w:rsidRPr="00000000">
        <w:rPr>
          <w:rFonts w:ascii="Arial" w:cs="Arial" w:eastAsia="Arial" w:hAnsi="Arial"/>
          <w:b w:val="1"/>
          <w:sz w:val="20"/>
          <w:szCs w:val="20"/>
          <w:rtl w:val="0"/>
        </w:rPr>
        <w:t xml:space="preserve">(D)</w:t>
      </w:r>
      <w:r w:rsidDel="00000000" w:rsidR="00000000" w:rsidRPr="00000000">
        <w:rPr>
          <w:rFonts w:ascii="Arial" w:cs="Arial" w:eastAsia="Arial" w:hAnsi="Arial"/>
          <w:sz w:val="20"/>
          <w:szCs w:val="20"/>
          <w:rtl w:val="0"/>
        </w:rPr>
        <w:t xml:space="preserve"> Stack bar plot of each samples’ different RNAs’ mapping ratio.</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5182086" cy="4948238"/>
            <wp:effectExtent b="0" l="0" r="0" t="0"/>
            <wp:docPr id="36"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182086" cy="49482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spacing w:line="360" w:lineRule="auto"/>
        <w:rPr/>
      </w:pPr>
      <w:r w:rsidDel="00000000" w:rsidR="00000000" w:rsidRPr="00000000">
        <w:rPr>
          <w:rtl w:val="0"/>
        </w:rPr>
        <w:t xml:space="preserve">Supplementary figure 4 | Summary of S-exoRNA-seq data differential expression analysis</w:t>
      </w:r>
    </w:p>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We did differential analysis on dataset GSE71008 for cancer CRC and CRC stage 1 with healthy control. </w:t>
      </w: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Volcano plot of each genes’ log2 fold change and -log10 adjusted p value; </w:t>
      </w: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Top 10 differentially expressed genes’ fold change, expression value (in log CPM) and their’ -log10 adjusted p value; </w:t>
      </w:r>
      <w:r w:rsidDel="00000000" w:rsidR="00000000" w:rsidRPr="00000000">
        <w:rPr>
          <w:rFonts w:ascii="Arial" w:cs="Arial" w:eastAsia="Arial" w:hAnsi="Arial"/>
          <w:b w:val="1"/>
          <w:sz w:val="20"/>
          <w:szCs w:val="20"/>
          <w:rtl w:val="0"/>
        </w:rPr>
        <w:t xml:space="preserve">(C) </w:t>
      </w:r>
      <w:r w:rsidDel="00000000" w:rsidR="00000000" w:rsidRPr="00000000">
        <w:rPr>
          <w:rFonts w:ascii="Arial" w:cs="Arial" w:eastAsia="Arial" w:hAnsi="Arial"/>
          <w:sz w:val="20"/>
          <w:szCs w:val="20"/>
          <w:rtl w:val="0"/>
        </w:rPr>
        <w:t xml:space="preserve">Clustermap of top differentially expressed genes to show their ability to classify cancers from healthy control samples.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0" distT="0" distL="0" distR="0">
            <wp:extent cx="4913143" cy="2576513"/>
            <wp:effectExtent b="0" l="0" r="0" t="0"/>
            <wp:docPr id="1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913143"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spacing w:line="360" w:lineRule="auto"/>
        <w:rPr/>
      </w:pPr>
      <w:r w:rsidDel="00000000" w:rsidR="00000000" w:rsidRPr="00000000">
        <w:rPr>
          <w:rtl w:val="0"/>
        </w:rPr>
        <w:t xml:space="preserve">Supplementary figure 5 | Summary of L-exoRNA-seq data mapping</w:t>
      </w:r>
    </w:p>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Some summary plot of dataset exoRBase.</w:t>
      </w:r>
      <w:r w:rsidDel="00000000" w:rsidR="00000000" w:rsidRPr="00000000">
        <w:rPr>
          <w:rtl w:val="0"/>
        </w:rPr>
        <w:t xml:space="preserve"> </w:t>
      </w: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Pie plot of different RNA mapping ratios; </w:t>
      </w: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Length distribution of different RNAs; </w:t>
      </w:r>
      <w:r w:rsidDel="00000000" w:rsidR="00000000" w:rsidRPr="00000000">
        <w:rPr>
          <w:rFonts w:ascii="Arial" w:cs="Arial" w:eastAsia="Arial" w:hAnsi="Arial"/>
          <w:b w:val="1"/>
          <w:sz w:val="20"/>
          <w:szCs w:val="20"/>
          <w:rtl w:val="0"/>
        </w:rPr>
        <w:t xml:space="preserve">(C) </w:t>
      </w:r>
      <w:r w:rsidDel="00000000" w:rsidR="00000000" w:rsidRPr="00000000">
        <w:rPr>
          <w:rFonts w:ascii="Arial" w:cs="Arial" w:eastAsia="Arial" w:hAnsi="Arial"/>
          <w:sz w:val="20"/>
          <w:szCs w:val="20"/>
          <w:rtl w:val="0"/>
        </w:rPr>
        <w:t xml:space="preserve">Box plot of different RNAs mapping ratio; </w:t>
      </w:r>
      <w:r w:rsidDel="00000000" w:rsidR="00000000" w:rsidRPr="00000000">
        <w:rPr>
          <w:rFonts w:ascii="Arial" w:cs="Arial" w:eastAsia="Arial" w:hAnsi="Arial"/>
          <w:b w:val="1"/>
          <w:sz w:val="20"/>
          <w:szCs w:val="20"/>
          <w:rtl w:val="0"/>
        </w:rPr>
        <w:t xml:space="preserve">(D)</w:t>
      </w:r>
      <w:r w:rsidDel="00000000" w:rsidR="00000000" w:rsidRPr="00000000">
        <w:rPr>
          <w:rFonts w:ascii="Arial" w:cs="Arial" w:eastAsia="Arial" w:hAnsi="Arial"/>
          <w:sz w:val="20"/>
          <w:szCs w:val="20"/>
          <w:rtl w:val="0"/>
        </w:rPr>
        <w:t xml:space="preserve"> Stack bar plot of each samples’ different RNAs’ mapping ratio.</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0" distT="0" distL="0" distR="0">
            <wp:extent cx="4822551" cy="4595813"/>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822551" cy="45958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spacing w:line="360" w:lineRule="auto"/>
        <w:rPr/>
      </w:pPr>
      <w:r w:rsidDel="00000000" w:rsidR="00000000" w:rsidRPr="00000000">
        <w:rPr>
          <w:rtl w:val="0"/>
        </w:rPr>
        <w:t xml:space="preserve">Supplementary figure 6 | Summary of L-exoRNA-seq data differential expression analysis</w:t>
      </w:r>
    </w:p>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We did differential analysis on dataset exoRBase for cancer HCC and CRC with healthy control. </w:t>
      </w: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Volcano plot of each genes’ log2 fold change and -log10 adjusted p value; </w:t>
      </w: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Top 10 differentially expressed genes’ fold change, expression value (in log RPKM) and their’ -log10 adjusted p value; </w:t>
      </w:r>
      <w:r w:rsidDel="00000000" w:rsidR="00000000" w:rsidRPr="00000000">
        <w:rPr>
          <w:rFonts w:ascii="Arial" w:cs="Arial" w:eastAsia="Arial" w:hAnsi="Arial"/>
          <w:b w:val="1"/>
          <w:sz w:val="20"/>
          <w:szCs w:val="20"/>
          <w:rtl w:val="0"/>
        </w:rPr>
        <w:t xml:space="preserve">(C) </w:t>
      </w:r>
      <w:r w:rsidDel="00000000" w:rsidR="00000000" w:rsidRPr="00000000">
        <w:rPr>
          <w:rFonts w:ascii="Arial" w:cs="Arial" w:eastAsia="Arial" w:hAnsi="Arial"/>
          <w:sz w:val="20"/>
          <w:szCs w:val="20"/>
          <w:rtl w:val="0"/>
        </w:rPr>
        <w:t xml:space="preserve">Clustermap of top differentially expressed genes to show their ability to classify cancers from healthy control samples.</w:t>
      </w:r>
    </w:p>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line="360" w:lineRule="auto"/>
        <w:jc w:val="center"/>
        <w:rPr>
          <w:rFonts w:ascii="Arial" w:cs="Arial" w:eastAsia="Arial" w:hAnsi="Arial"/>
          <w:sz w:val="20"/>
          <w:szCs w:val="20"/>
        </w:rPr>
      </w:pPr>
      <w:r w:rsidDel="00000000" w:rsidR="00000000" w:rsidRPr="00000000">
        <w:rPr/>
        <w:drawing>
          <wp:inline distB="0" distT="0" distL="0" distR="0">
            <wp:extent cx="3347709" cy="3595688"/>
            <wp:effectExtent b="0" l="0" r="0" t="0"/>
            <wp:docPr id="1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347709"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spacing w:line="360" w:lineRule="auto"/>
        <w:rPr/>
      </w:pPr>
      <w:bookmarkStart w:colFirst="0" w:colLast="0" w:name="_3znysh7" w:id="3"/>
      <w:bookmarkEnd w:id="3"/>
      <w:r w:rsidDel="00000000" w:rsidR="00000000" w:rsidRPr="00000000">
        <w:rPr>
          <w:rtl w:val="0"/>
        </w:rPr>
        <w:t xml:space="preserve">Supplementary figure 7 | Summary of exoRNA dataset domains and miRNAs abundance and diversity</w:t>
      </w:r>
    </w:p>
    <w:p w:rsidR="00000000" w:rsidDel="00000000" w:rsidP="00000000" w:rsidRDefault="00000000" w:rsidRPr="00000000" w14:paraId="00000031">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abundance and diversity of exoRNA dataset domains and miRNAs. miRNA accounts for most of mapped reads.</w:t>
      </w:r>
    </w:p>
    <w:p w:rsidR="00000000" w:rsidDel="00000000" w:rsidP="00000000" w:rsidRDefault="00000000" w:rsidRPr="00000000" w14:paraId="00000032">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Differentially expressed RNA domains. Most of them are miRNA, lncRNA and mRNA. The total differentially expressed RNA amount is small.</w:t>
      </w:r>
    </w:p>
    <w:p w:rsidR="00000000" w:rsidDel="00000000" w:rsidP="00000000" w:rsidRDefault="00000000" w:rsidRPr="00000000" w14:paraId="00000033">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4758055" cy="8851900"/>
            <wp:effectExtent b="0" l="0" r="0" t="0"/>
            <wp:docPr id="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58055" cy="8851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pStyle w:val="Heading2"/>
        <w:spacing w:line="360" w:lineRule="auto"/>
        <w:rPr>
          <w:rFonts w:ascii="SimSun" w:cs="SimSun" w:eastAsia="SimSun" w:hAnsi="SimSun"/>
        </w:rPr>
      </w:pPr>
      <w:bookmarkStart w:colFirst="0" w:colLast="0" w:name="_2et92p0" w:id="4"/>
      <w:bookmarkEnd w:id="4"/>
      <w:r w:rsidDel="00000000" w:rsidR="00000000" w:rsidRPr="00000000">
        <w:rPr>
          <w:rtl w:val="0"/>
        </w:rPr>
        <w:t xml:space="preserve">Supplementary figure 8 | Normalization and batch correction of dataset GSE71008</w:t>
      </w: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line="360" w:lineRule="auto"/>
        <w:ind w:left="36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For dataset GSE71008, we accessed the UCA and mkNN scores of every count matrix undergoing various joint processes of normalization and batch removal. Joint process of RLE followed by ComBat has the best performance. 1, 2, and 3 in legend means there are three kinds batches, RNA isolation batch, library preparation day and gel cut size selection, respectively.</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ind w:left="330" w:hanging="33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  Kdeplot matrix of genes’ abilities in explaining batch or biological variance for (RLE)-normalized and (RLE with limma)-normalized count matrix. Fewer significant genes explain batch variance after batch removal (the red line moves to the left relative to the blue line in the left side), and a similar number of significant genes explain biological variance (the red line doesn’t </w:t>
      </w:r>
      <w:r w:rsidDel="00000000" w:rsidR="00000000" w:rsidRPr="00000000">
        <w:rPr>
          <w:rFonts w:ascii="Times New Roman" w:cs="Times New Roman" w:eastAsia="Times New Roman" w:hAnsi="Times New Roman"/>
          <w:sz w:val="22"/>
          <w:szCs w:val="22"/>
          <w:rtl w:val="0"/>
        </w:rPr>
        <w:t xml:space="preserve">almost </w:t>
      </w:r>
      <w:r w:rsidDel="00000000" w:rsidR="00000000" w:rsidRPr="00000000">
        <w:rPr>
          <w:rFonts w:ascii="Times New Roman" w:cs="Times New Roman" w:eastAsia="Times New Roman" w:hAnsi="Times New Roman"/>
          <w:color w:val="000000"/>
          <w:sz w:val="22"/>
          <w:szCs w:val="22"/>
          <w:rtl w:val="0"/>
        </w:rPr>
        <w:t xml:space="preserve">move to the left relative to the blue line in the right side). Detailed information about variance explained is in Supplementary Note 2.</w:t>
      </w:r>
    </w:p>
    <w:p w:rsidR="00000000" w:rsidDel="00000000" w:rsidP="00000000" w:rsidRDefault="00000000" w:rsidRPr="00000000" w14:paraId="0000003A">
      <w:pPr>
        <w:spacing w:line="360" w:lineRule="auto"/>
        <w:ind w:left="330" w:hanging="330"/>
        <w:rPr>
          <w:color w:val="000000"/>
        </w:rPr>
      </w:pPr>
      <w:r w:rsidDel="00000000" w:rsidR="00000000" w:rsidRPr="00000000">
        <w:rPr>
          <w:rFonts w:ascii="Times New Roman" w:cs="Times New Roman" w:eastAsia="Times New Roman" w:hAnsi="Times New Roman"/>
          <w:color w:val="000000"/>
          <w:sz w:val="22"/>
          <w:szCs w:val="22"/>
          <w:rtl w:val="0"/>
        </w:rPr>
        <w:t xml:space="preserve">C)  Scatterplot matrix of first two principal components (PCs) for (RLE)-normalized and (RLE with ComBat)-normalized count matrix. Shapes represent biological difference.  ComBat removes batch (RNA isolation batch) effect (the samples no longer cluster by color after undergoing ComBat normalization). </w:t>
      </w:r>
      <w:r w:rsidDel="00000000" w:rsidR="00000000" w:rsidRPr="00000000">
        <w:rPr>
          <w:rtl w:val="0"/>
        </w:rPr>
      </w:r>
    </w:p>
    <w:p w:rsidR="00000000" w:rsidDel="00000000" w:rsidP="00000000" w:rsidRDefault="00000000" w:rsidRPr="00000000" w14:paraId="0000003B">
      <w:pPr>
        <w:spacing w:line="360" w:lineRule="auto"/>
        <w:ind w:left="330" w:hanging="33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  RLEplot matrices before and after undergoing RLE normalization. The variant scores depict the variance among samples. Detailed information about variant score is in Supplementary Note 1. </w:t>
      </w:r>
    </w:p>
    <w:p w:rsidR="00000000" w:rsidDel="00000000" w:rsidP="00000000" w:rsidRDefault="00000000" w:rsidRPr="00000000" w14:paraId="0000003C">
      <w:pPr>
        <w:spacing w:line="360" w:lineRule="auto"/>
        <w:ind w:left="330" w:hanging="330"/>
        <w:rPr/>
      </w:pPr>
      <w:r w:rsidDel="00000000" w:rsidR="00000000" w:rsidRPr="00000000">
        <w:rPr>
          <w:rFonts w:ascii="Times New Roman" w:cs="Times New Roman" w:eastAsia="Times New Roman" w:hAnsi="Times New Roman"/>
          <w:color w:val="000000"/>
          <w:sz w:val="22"/>
          <w:szCs w:val="22"/>
          <w:rtl w:val="0"/>
        </w:rPr>
        <w:t xml:space="preserve">E)  Counts heterogeneity plot among samples between or within datasets. We chose stably expressed genes hsa-miR-21-5p and hsa-miR-23b-5p instead of all genes to calculate heterogeneity. RLE reduces heterogeneity (the two lines are flatter and closer).</w:t>
      </w: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E">
      <w:pPr>
        <w:spacing w:line="36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3F">
      <w:pPr>
        <w:spacing w:line="360" w:lineRule="auto"/>
        <w:jc w:val="center"/>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4240078" cy="2998195"/>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240078" cy="299819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spacing w:line="360" w:lineRule="auto"/>
        <w:jc w:val="left"/>
        <w:rPr/>
      </w:pPr>
      <w:r w:rsidDel="00000000" w:rsidR="00000000" w:rsidRPr="00000000">
        <w:rPr>
          <w:rtl w:val="0"/>
        </w:rPr>
        <w:t xml:space="preserve">Supplementary figure 11 | Number of selected features</w:t>
      </w:r>
    </w:p>
    <w:p w:rsidR="00000000" w:rsidDel="00000000" w:rsidP="00000000" w:rsidRDefault="00000000" w:rsidRPr="00000000" w14:paraId="00000041">
      <w:pPr>
        <w:rPr>
          <w:rFonts w:ascii="Times New Roman" w:cs="Times New Roman" w:eastAsia="Times New Roman" w:hAnsi="Times New Roman"/>
          <w:color w:val="000000"/>
          <w:sz w:val="22"/>
          <w:szCs w:val="22"/>
        </w:rPr>
      </w:pPr>
      <w:r w:rsidDel="00000000" w:rsidR="00000000" w:rsidRPr="00000000">
        <w:rPr>
          <w:rFonts w:ascii="Arial" w:cs="Arial" w:eastAsia="Arial" w:hAnsi="Arial"/>
          <w:sz w:val="20"/>
          <w:szCs w:val="20"/>
          <w:rtl w:val="0"/>
        </w:rPr>
        <w:t xml:space="preserve">We observed that in different dataset and for different cancer stages, the AUC of different number of selected features varies only a little. It is possible to select less than 5 features to have a good classification performance.  </w:t>
      </w: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HCC in dataset </w:t>
      </w:r>
      <w:r w:rsidDel="00000000" w:rsidR="00000000" w:rsidRPr="00000000">
        <w:rPr>
          <w:rFonts w:ascii="Times New Roman" w:cs="Times New Roman" w:eastAsia="Times New Roman" w:hAnsi="Times New Roman"/>
          <w:color w:val="000000"/>
          <w:sz w:val="22"/>
          <w:szCs w:val="22"/>
          <w:rtl w:val="0"/>
        </w:rPr>
        <w:t xml:space="preserve">GSE123973</w:t>
      </w:r>
      <w:r w:rsidDel="00000000" w:rsidR="00000000" w:rsidRPr="00000000">
        <w:rPr>
          <w:rFonts w:ascii="Arial" w:cs="Arial" w:eastAsia="Arial" w:hAnsi="Arial"/>
          <w:sz w:val="20"/>
          <w:szCs w:val="20"/>
          <w:rtl w:val="0"/>
        </w:rPr>
        <w:t xml:space="preserve">;</w:t>
      </w:r>
      <w:r w:rsidDel="00000000" w:rsidR="00000000" w:rsidRPr="00000000">
        <w:rPr>
          <w:rtl w:val="0"/>
        </w:rPr>
        <w:t xml:space="preserve"> </w:t>
      </w: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HCC stage 1 in dataset </w:t>
      </w:r>
      <w:r w:rsidDel="00000000" w:rsidR="00000000" w:rsidRPr="00000000">
        <w:rPr>
          <w:rFonts w:ascii="Times New Roman" w:cs="Times New Roman" w:eastAsia="Times New Roman" w:hAnsi="Times New Roman"/>
          <w:color w:val="000000"/>
          <w:sz w:val="22"/>
          <w:szCs w:val="22"/>
          <w:rtl w:val="0"/>
        </w:rPr>
        <w:t xml:space="preserve">GSE123973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(C) </w:t>
      </w:r>
      <w:r w:rsidDel="00000000" w:rsidR="00000000" w:rsidRPr="00000000">
        <w:rPr>
          <w:rFonts w:ascii="Arial" w:cs="Arial" w:eastAsia="Arial" w:hAnsi="Arial"/>
          <w:sz w:val="20"/>
          <w:szCs w:val="20"/>
          <w:rtl w:val="0"/>
        </w:rPr>
        <w:t xml:space="preserve">CRC in dataset </w:t>
      </w:r>
      <w:r w:rsidDel="00000000" w:rsidR="00000000" w:rsidRPr="00000000">
        <w:rPr>
          <w:rFonts w:ascii="Times New Roman" w:cs="Times New Roman" w:eastAsia="Times New Roman" w:hAnsi="Times New Roman"/>
          <w:color w:val="000000"/>
          <w:sz w:val="22"/>
          <w:szCs w:val="22"/>
          <w:rtl w:val="0"/>
        </w:rPr>
        <w:t xml:space="preserve">GSE7100; </w:t>
      </w:r>
      <w:r w:rsidDel="00000000" w:rsidR="00000000" w:rsidRPr="00000000">
        <w:rPr>
          <w:rFonts w:ascii="Arial" w:cs="Arial" w:eastAsia="Arial" w:hAnsi="Arial"/>
          <w:b w:val="1"/>
          <w:sz w:val="20"/>
          <w:szCs w:val="20"/>
          <w:rtl w:val="0"/>
        </w:rPr>
        <w:t xml:space="preserve">(D) </w:t>
      </w:r>
      <w:r w:rsidDel="00000000" w:rsidR="00000000" w:rsidRPr="00000000">
        <w:rPr>
          <w:rFonts w:ascii="Arial" w:cs="Arial" w:eastAsia="Arial" w:hAnsi="Arial"/>
          <w:sz w:val="20"/>
          <w:szCs w:val="20"/>
          <w:rtl w:val="0"/>
        </w:rPr>
        <w:t xml:space="preserve">CRC stage 1 in dataset </w:t>
      </w:r>
      <w:r w:rsidDel="00000000" w:rsidR="00000000" w:rsidRPr="00000000">
        <w:rPr>
          <w:rFonts w:ascii="Times New Roman" w:cs="Times New Roman" w:eastAsia="Times New Roman" w:hAnsi="Times New Roman"/>
          <w:color w:val="000000"/>
          <w:sz w:val="22"/>
          <w:szCs w:val="22"/>
          <w:rtl w:val="0"/>
        </w:rPr>
        <w:t xml:space="preserve">GSE7100.</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60" w:lineRule="auto"/>
        <w:jc w:val="center"/>
        <w:rPr>
          <w:rFonts w:ascii="Arial" w:cs="Arial" w:eastAsia="Arial" w:hAnsi="Arial"/>
          <w:b w:val="1"/>
          <w:color w:val="000000"/>
        </w:rPr>
      </w:pPr>
      <w:r w:rsidDel="00000000" w:rsidR="00000000" w:rsidRPr="00000000">
        <w:rPr>
          <w:rFonts w:ascii="Arial" w:cs="Arial" w:eastAsia="Arial" w:hAnsi="Arial"/>
          <w:b w:val="1"/>
          <w:color w:val="000000"/>
        </w:rPr>
        <w:drawing>
          <wp:inline distB="0" distT="0" distL="0" distR="0">
            <wp:extent cx="5050920" cy="4252913"/>
            <wp:effectExtent b="0" l="0" r="0" t="0"/>
            <wp:docPr id="2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050920"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line="360" w:lineRule="auto"/>
        <w:rPr>
          <w:rFonts w:ascii="SimSun" w:cs="SimSun" w:eastAsia="SimSun" w:hAnsi="SimSun"/>
        </w:rPr>
      </w:pPr>
      <w:r w:rsidDel="00000000" w:rsidR="00000000" w:rsidRPr="00000000">
        <w:rPr>
          <w:rtl w:val="0"/>
        </w:rPr>
        <w:t xml:space="preserve">Supplementary figure 12 | Reads processing, matrix processing and feature selection pipeline.</w:t>
      </w: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Reads processing pipeline with reads cleaning, quality control, sequential mapping, domain calling.</w:t>
      </w:r>
    </w:p>
    <w:p w:rsidR="00000000" w:rsidDel="00000000" w:rsidP="00000000" w:rsidRDefault="00000000" w:rsidRPr="00000000" w14:paraId="00000046">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Matrix processing including imputation, normalization, batch correction.</w:t>
      </w:r>
    </w:p>
    <w:p w:rsidR="00000000" w:rsidDel="00000000" w:rsidP="00000000" w:rsidRDefault="00000000" w:rsidRPr="00000000" w14:paraId="00000047">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w:t>
      </w:r>
      <w:r w:rsidDel="00000000" w:rsidR="00000000" w:rsidRPr="00000000">
        <w:rPr>
          <w:rFonts w:ascii="Arial" w:cs="Arial" w:eastAsia="Arial" w:hAnsi="Arial"/>
          <w:sz w:val="20"/>
          <w:szCs w:val="20"/>
          <w:rtl w:val="0"/>
        </w:rPr>
        <w:t xml:space="preserve"> One of the feature selection strategy we use, resampling 50 times to select recurrently appeared features as robust candidates.</w:t>
      </w:r>
    </w:p>
    <w:p w:rsidR="00000000" w:rsidDel="00000000" w:rsidP="00000000" w:rsidRDefault="00000000" w:rsidRPr="00000000" w14:paraId="00000048">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spacing w:line="36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4B">
      <w:pPr>
        <w:spacing w:line="360" w:lineRule="auto"/>
        <w:jc w:val="center"/>
        <w:rPr>
          <w:rFonts w:ascii="Arial" w:cs="Arial" w:eastAsia="Arial" w:hAnsi="Arial"/>
          <w:b w:val="1"/>
          <w:color w:val="000000"/>
        </w:rPr>
      </w:pPr>
      <w:bookmarkStart w:colFirst="0" w:colLast="0" w:name="_tyjcwt" w:id="5"/>
      <w:bookmarkEnd w:id="5"/>
      <w:r w:rsidDel="00000000" w:rsidR="00000000" w:rsidRPr="00000000">
        <w:rPr>
          <w:rFonts w:ascii="Arial" w:cs="Arial" w:eastAsia="Arial" w:hAnsi="Arial"/>
          <w:b w:val="1"/>
          <w:color w:val="000000"/>
        </w:rPr>
        <w:drawing>
          <wp:inline distB="0" distT="0" distL="0" distR="0">
            <wp:extent cx="4795838" cy="4210171"/>
            <wp:effectExtent b="0" l="0" r="0" t="0"/>
            <wp:docPr id="21"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795838" cy="421017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spacing w:line="360" w:lineRule="auto"/>
        <w:rPr>
          <w:rFonts w:ascii="SimSun" w:cs="SimSun" w:eastAsia="SimSun" w:hAnsi="SimSun"/>
        </w:rPr>
      </w:pPr>
      <w:r w:rsidDel="00000000" w:rsidR="00000000" w:rsidRPr="00000000">
        <w:rPr>
          <w:rtl w:val="0"/>
        </w:rPr>
        <w:t xml:space="preserve">Supplementary figure 13 | exSEEK modules and plotting environment</w:t>
      </w:r>
      <w:r w:rsidDel="00000000" w:rsidR="00000000" w:rsidRPr="00000000">
        <w:rPr>
          <w:rtl w:val="0"/>
        </w:rPr>
      </w:r>
    </w:p>
    <w:p w:rsidR="00000000" w:rsidDel="00000000" w:rsidP="00000000" w:rsidRDefault="00000000" w:rsidRPr="00000000" w14:paraId="0000004D">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w:t>
      </w:r>
      <w:r w:rsidDel="00000000" w:rsidR="00000000" w:rsidRPr="00000000">
        <w:rPr>
          <w:rFonts w:ascii="Arial" w:cs="Arial" w:eastAsia="Arial" w:hAnsi="Arial"/>
          <w:sz w:val="20"/>
          <w:szCs w:val="20"/>
          <w:rtl w:val="0"/>
        </w:rPr>
        <w:t xml:space="preserve"> exSEEK has three main modules which can be run sequentially or separately.</w:t>
      </w:r>
    </w:p>
    <w:p w:rsidR="00000000" w:rsidDel="00000000" w:rsidP="00000000" w:rsidRDefault="00000000" w:rsidRPr="00000000" w14:paraId="0000004E">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(B)</w:t>
      </w:r>
      <w:r w:rsidDel="00000000" w:rsidR="00000000" w:rsidRPr="00000000">
        <w:rPr>
          <w:rFonts w:ascii="Arial" w:cs="Arial" w:eastAsia="Arial" w:hAnsi="Arial"/>
          <w:sz w:val="20"/>
          <w:szCs w:val="20"/>
          <w:rtl w:val="0"/>
        </w:rPr>
        <w:t xml:space="preserve"> exSEEK use jupyter notebook for users to interactively generates high standards plots of exSEEK output.</w:t>
      </w:r>
    </w:p>
    <w:p w:rsidR="00000000" w:rsidDel="00000000" w:rsidP="00000000" w:rsidRDefault="00000000" w:rsidRPr="00000000" w14:paraId="0000004F">
      <w:pPr>
        <w:spacing w:line="36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1">
      <w:pPr>
        <w:spacing w:line="360" w:lineRule="auto"/>
        <w:rPr>
          <w:rFonts w:ascii="Arial" w:cs="Arial" w:eastAsia="Arial" w:hAnsi="Arial"/>
          <w:b w:val="1"/>
          <w:color w:val="000000"/>
        </w:rPr>
        <w:sectPr>
          <w:headerReference r:id="rId17" w:type="default"/>
          <w:headerReference r:id="rId18" w:type="even"/>
          <w:footerReference r:id="rId19" w:type="default"/>
          <w:footerReference r:id="rId20" w:type="even"/>
          <w:pgSz w:h="16820" w:w="11900"/>
          <w:pgMar w:bottom="1440" w:top="1440" w:left="1800" w:right="1800" w:header="851" w:footer="992"/>
          <w:pgNumType w:start="1"/>
        </w:sectPr>
      </w:pPr>
      <w:r w:rsidDel="00000000" w:rsidR="00000000" w:rsidRPr="00000000">
        <w:rPr>
          <w:rtl w:val="0"/>
        </w:rPr>
      </w:r>
    </w:p>
    <w:p w:rsidR="00000000" w:rsidDel="00000000" w:rsidP="00000000" w:rsidRDefault="00000000" w:rsidRPr="00000000" w14:paraId="00000052">
      <w:pPr>
        <w:pStyle w:val="Heading1"/>
        <w:rPr/>
      </w:pPr>
      <w:bookmarkStart w:colFirst="0" w:colLast="0" w:name="_3dy6vkm" w:id="6"/>
      <w:bookmarkEnd w:id="6"/>
      <w:r w:rsidDel="00000000" w:rsidR="00000000" w:rsidRPr="00000000">
        <w:rPr>
          <w:rtl w:val="0"/>
        </w:rPr>
        <w:t xml:space="preserve">Supplementary Notes</w:t>
      </w:r>
    </w:p>
    <w:p w:rsidR="00000000" w:rsidDel="00000000" w:rsidP="00000000" w:rsidRDefault="00000000" w:rsidRPr="00000000" w14:paraId="00000053">
      <w:pPr>
        <w:pStyle w:val="Heading2"/>
        <w:rPr/>
      </w:pPr>
      <w:bookmarkStart w:colFirst="0" w:colLast="0" w:name="_1t3h5sf" w:id="7"/>
      <w:bookmarkEnd w:id="7"/>
      <w:r w:rsidDel="00000000" w:rsidR="00000000" w:rsidRPr="00000000">
        <w:rPr>
          <w:rtl w:val="0"/>
        </w:rPr>
        <w:t xml:space="preserve">Supplementary Note 1 | Illustration of variance score,  </w:t>
      </w:r>
      <m:oMath>
        <m:r>
          <w:rPr>
            <w:rFonts w:ascii="Cambria Math" w:cs="Cambria Math" w:eastAsia="Cambria Math" w:hAnsi="Cambria Math"/>
          </w:rPr>
          <m:t xml:space="preserve">b</m:t>
        </m:r>
      </m:oMath>
      <w:r w:rsidDel="00000000" w:rsidR="00000000" w:rsidRPr="00000000">
        <w:rPr>
          <w:rtl w:val="0"/>
        </w:rPr>
        <w:t xml:space="preserve"> and </w:t>
      </w:r>
      <m:oMath>
        <m:r>
          <w:rPr>
            <w:rFonts w:ascii="Cambria Math" w:cs="Cambria Math" w:eastAsia="Cambria Math" w:hAnsi="Cambria Math"/>
          </w:rPr>
          <m:t xml:space="preserve">w</m:t>
        </m:r>
      </m:oMath>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reveal differences among samples in RLEplot, we define variation score as below:</w:t>
      </w:r>
    </w:p>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vertAlign w:val="subscript"/>
        </w:rPr>
        <w:drawing>
          <wp:inline distB="0" distT="0" distL="114300" distR="114300">
            <wp:extent cx="1280160" cy="307340"/>
            <wp:effectExtent b="0" l="0" r="0" t="0"/>
            <wp:docPr id="23"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1280160" cy="30734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vertAlign w:val="subscript"/>
        </w:rPr>
        <w:drawing>
          <wp:inline distB="0" distT="0" distL="114300" distR="114300">
            <wp:extent cx="1134110" cy="292735"/>
            <wp:effectExtent b="0" l="0" r="0" t="0"/>
            <wp:docPr id="2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134110" cy="29273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vertAlign w:val="subscript"/>
        </w:rPr>
        <w:drawing>
          <wp:inline distB="0" distT="0" distL="114300" distR="114300">
            <wp:extent cx="2194560" cy="607060"/>
            <wp:effectExtent b="0" l="0" r="0" t="0"/>
            <wp:docPr id="2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194560" cy="60706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226695" cy="263525"/>
            <wp:effectExtent b="0" l="0" r="0" t="0"/>
            <wp:docPr id="3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26695" cy="2635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114300" distR="114300">
            <wp:extent cx="102235" cy="124460"/>
            <wp:effectExtent b="0" l="0" r="0" t="0"/>
            <wp:docPr id="3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102235" cy="12446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114300" distR="114300">
            <wp:extent cx="124460" cy="124460"/>
            <wp:effectExtent b="0" l="0" r="0" t="0"/>
            <wp:docPr id="34"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124460" cy="124460"/>
                    </a:xfrm>
                    <a:prstGeom prst="rect"/>
                    <a:ln/>
                  </pic:spPr>
                </pic:pic>
              </a:graphicData>
            </a:graphic>
          </wp:inline>
        </w:drawing>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124460" cy="168275"/>
            <wp:effectExtent b="0" l="0" r="0" t="0"/>
            <wp:docPr id="37"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124460" cy="168275"/>
                    </a:xfrm>
                    <a:prstGeom prst="rect"/>
                    <a:ln/>
                  </pic:spPr>
                </pic:pic>
              </a:graphicData>
            </a:graphic>
          </wp:inline>
        </w:drawing>
      </w:r>
      <w:r w:rsidDel="00000000" w:rsidR="00000000" w:rsidRPr="00000000">
        <w:rPr>
          <w:rFonts w:ascii="Times New Roman" w:cs="Times New Roman" w:eastAsia="Times New Roman" w:hAnsi="Times New Roman"/>
          <w:rtl w:val="0"/>
        </w:rPr>
        <w:t xml:space="preserve"> are the expression matrix(</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139065" cy="168275"/>
            <wp:effectExtent b="0" l="0" r="0" t="0"/>
            <wp:docPr id="3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39065" cy="168275"/>
                    </a:xfrm>
                    <a:prstGeom prst="rect"/>
                    <a:ln/>
                  </pic:spPr>
                </pic:pic>
              </a:graphicData>
            </a:graphic>
          </wp:inline>
        </w:drawing>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Pr>
        <w:drawing>
          <wp:inline distB="0" distT="0" distL="114300" distR="114300">
            <wp:extent cx="102235" cy="124460"/>
            <wp:effectExtent b="0" l="0" r="0" t="0"/>
            <wp:docPr id="39"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102235" cy="124460"/>
                    </a:xfrm>
                    <a:prstGeom prst="rect"/>
                    <a:ln/>
                  </pic:spPr>
                </pic:pic>
              </a:graphicData>
            </a:graphic>
          </wp:inline>
        </w:drawing>
      </w:r>
      <w:r w:rsidDel="00000000" w:rsidR="00000000" w:rsidRPr="00000000">
        <w:rPr>
          <w:rFonts w:ascii="Times New Roman" w:cs="Times New Roman" w:eastAsia="Times New Roman" w:hAnsi="Times New Roman"/>
          <w:rtl w:val="0"/>
        </w:rPr>
        <w:t xml:space="preserve"> represents gene and sample respectively) , a matrix filled with one with the same number of rows and columns as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226695" cy="263525"/>
            <wp:effectExtent b="0" l="0" r="0" t="0"/>
            <wp:docPr id="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26695" cy="263525"/>
                    </a:xfrm>
                    <a:prstGeom prst="rect"/>
                    <a:ln/>
                  </pic:spPr>
                </pic:pic>
              </a:graphicData>
            </a:graphic>
          </wp:inline>
        </w:drawing>
      </w:r>
      <w:r w:rsidDel="00000000" w:rsidR="00000000" w:rsidRPr="00000000">
        <w:rPr>
          <w:rFonts w:ascii="Times New Roman" w:cs="Times New Roman" w:eastAsia="Times New Roman" w:hAnsi="Times New Roman"/>
          <w:rtl w:val="0"/>
        </w:rPr>
        <w:t xml:space="preserve">, number of samples, and q-th quantile of a row or column of standardized matrices(</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328930" cy="292735"/>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28930" cy="292735"/>
                    </a:xfrm>
                    <a:prstGeom prst="rect"/>
                    <a:ln/>
                  </pic:spPr>
                </pic:pic>
              </a:graphicData>
            </a:graphic>
          </wp:inline>
        </w:drawing>
      </w:r>
      <w:r w:rsidDel="00000000" w:rsidR="00000000" w:rsidRPr="00000000">
        <w:rPr>
          <w:rFonts w:ascii="Times New Roman" w:cs="Times New Roman" w:eastAsia="Times New Roman" w:hAnsi="Times New Roman"/>
          <w:rtl w:val="0"/>
        </w:rPr>
        <w:t xml:space="preserve"> represents 75-th quantile of normalized counts of genes for each sample column), respectively</w:t>
      </w:r>
      <w:r w:rsidDel="00000000" w:rsidR="00000000" w:rsidRPr="00000000">
        <w:rPr>
          <w:rtl w:val="0"/>
        </w:rPr>
        <w:t xml:space="preserve">.</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0" distT="0" distL="114300" distR="114300">
            <wp:extent cx="66040" cy="73025"/>
            <wp:effectExtent b="0" l="0" r="0" t="0"/>
            <wp:docPr id="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6040" cy="730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reveal the heterogeneity between and within datasets, we define </w:t>
      </w:r>
      <m:oMath>
        <m:r>
          <w:rPr>
            <w:rFonts w:ascii="Cambria Math" w:cs="Cambria Math" w:eastAsia="Cambria Math" w:hAnsi="Cambria Math"/>
          </w:rPr>
          <m:t xml:space="preserve">b</m:t>
        </m:r>
      </m:oMath>
      <w:r w:rsidDel="00000000" w:rsidR="00000000" w:rsidRPr="00000000">
        <w:rPr>
          <w:rFonts w:ascii="Times New Roman" w:cs="Times New Roman" w:eastAsia="Times New Roman" w:hAnsi="Times New Roman"/>
          <w:rtl w:val="0"/>
        </w:rPr>
        <w:t xml:space="preserve"> and </w:t>
      </w:r>
      <m:oMath>
        <m:r>
          <w:rPr>
            <w:rFonts w:ascii="Cambria Math" w:cs="Cambria Math" w:eastAsia="Cambria Math" w:hAnsi="Cambria Math"/>
          </w:rPr>
          <m:t xml:space="preserve">w</m:t>
        </m:r>
      </m:oMath>
      <w:r w:rsidDel="00000000" w:rsidR="00000000" w:rsidRPr="00000000">
        <w:rPr>
          <w:rFonts w:ascii="Times New Roman" w:cs="Times New Roman" w:eastAsia="Times New Roman" w:hAnsi="Times New Roman"/>
          <w:rtl w:val="0"/>
        </w:rPr>
        <w:t xml:space="preserve"> respectively as below:</w:t>
      </w:r>
    </w:p>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vertAlign w:val="subscript"/>
        </w:rPr>
        <w:drawing>
          <wp:inline distB="0" distT="0" distL="114300" distR="114300">
            <wp:extent cx="1411605" cy="394970"/>
            <wp:effectExtent b="0" l="0" r="0" t="0"/>
            <wp:docPr id="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1411605" cy="39497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vertAlign w:val="subscript"/>
        </w:rPr>
        <w:drawing>
          <wp:inline distB="0" distT="0" distL="114300" distR="114300">
            <wp:extent cx="1257935" cy="467994"/>
            <wp:effectExtent b="0" l="0" r="0" t="0"/>
            <wp:docPr id="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257935" cy="46799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263525" cy="292735"/>
            <wp:effectExtent b="0" l="0" r="0" t="0"/>
            <wp:docPr id="6"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263525" cy="292735"/>
                    </a:xfrm>
                    <a:prstGeom prst="rect"/>
                    <a:ln/>
                  </pic:spPr>
                </pic:pic>
              </a:graphicData>
            </a:graphic>
          </wp:inline>
        </w:drawing>
      </w:r>
      <w:r w:rsidDel="00000000" w:rsidR="00000000" w:rsidRPr="00000000">
        <w:rPr>
          <w:rFonts w:ascii="Times New Roman" w:cs="Times New Roman" w:eastAsia="Times New Roman" w:hAnsi="Times New Roman"/>
          <w:rtl w:val="0"/>
        </w:rPr>
        <w:t xml:space="preserve">is the expression matrix(</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175260" cy="241300"/>
            <wp:effectExtent b="0" l="0" r="0" t="0"/>
            <wp:docPr id="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175260" cy="241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153670" cy="241300"/>
            <wp:effectExtent b="0" l="0" r="0" t="0"/>
            <wp:docPr id="8"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53670" cy="241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represent reference genes expressed stably and samples sorted by batches respectively) and </w:t>
      </w:r>
      <w:r w:rsidDel="00000000" w:rsidR="00000000" w:rsidRPr="00000000">
        <w:rPr>
          <w:rFonts w:ascii="Times New Roman" w:cs="Times New Roman" w:eastAsia="Times New Roman" w:hAnsi="Times New Roman"/>
        </w:rPr>
        <w:drawing>
          <wp:inline distB="0" distT="0" distL="114300" distR="114300">
            <wp:extent cx="116840" cy="168275"/>
            <wp:effectExtent b="0" l="0" r="0" t="0"/>
            <wp:docPr id="9"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116840" cy="168275"/>
                    </a:xfrm>
                    <a:prstGeom prst="rect"/>
                    <a:ln/>
                  </pic:spPr>
                </pic:pic>
              </a:graphicData>
            </a:graphic>
          </wp:inline>
        </w:drawing>
      </w:r>
      <w:r w:rsidDel="00000000" w:rsidR="00000000" w:rsidRPr="00000000">
        <w:rPr>
          <w:rFonts w:ascii="Times New Roman" w:cs="Times New Roman" w:eastAsia="Times New Roman" w:hAnsi="Times New Roman"/>
          <w:rtl w:val="0"/>
        </w:rPr>
        <w:t xml:space="preserve"> is batch.</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pStyle w:val="Heading2"/>
        <w:rPr/>
      </w:pPr>
      <w:bookmarkStart w:colFirst="0" w:colLast="0" w:name="_4d34og8" w:id="8"/>
      <w:bookmarkEnd w:id="8"/>
      <w:r w:rsidDel="00000000" w:rsidR="00000000" w:rsidRPr="00000000">
        <w:rPr>
          <w:rtl w:val="0"/>
        </w:rPr>
        <w:t xml:space="preserve">Supplementary Note 2 | Technical notes on variance explained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Horizontal axis of Supplementary figure 2B, ‘variance explain%’ is a statistic depicts the ability of a category classifies a list which is the foundation of One-Way ANOVA. We have the expression matrix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139065" cy="241300"/>
            <wp:effectExtent b="0" l="0" r="0" t="0"/>
            <wp:docPr id="10"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139065" cy="241300"/>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139065" cy="168275"/>
            <wp:effectExtent b="0" l="0" r="0" t="0"/>
            <wp:docPr id="1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39065" cy="168275"/>
                    </a:xfrm>
                    <a:prstGeom prst="rect"/>
                    <a:ln/>
                  </pic:spPr>
                </pic:pic>
              </a:graphicData>
            </a:graphic>
          </wp:inline>
        </w:drawing>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139065" cy="241300"/>
            <wp:effectExtent b="0" l="0" r="0" t="0"/>
            <wp:docPr id="19"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139065" cy="241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represent genes and samples sorted by categories such as batches or biological classes). For each gene, class and sample, we have the expression value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292735" cy="278130"/>
            <wp:effectExtent b="0" l="0" r="0" t="0"/>
            <wp:docPr id="22"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292735" cy="278130"/>
                    </a:xfrm>
                    <a:prstGeom prst="rect"/>
                    <a:ln/>
                  </pic:spPr>
                </pic:pic>
              </a:graphicData>
            </a:graphic>
          </wp:inline>
        </w:drawing>
      </w:r>
      <w:r w:rsidDel="00000000" w:rsidR="00000000" w:rsidRPr="00000000">
        <w:rPr>
          <w:rFonts w:ascii="Times New Roman" w:cs="Times New Roman" w:eastAsia="Times New Roman" w:hAnsi="Times New Roman"/>
          <w:rtl w:val="0"/>
        </w:rPr>
        <w:t xml:space="preserve">. ‘variance explain%’ can be calculated as: </w:t>
      </w:r>
    </w:p>
    <w:p w:rsidR="00000000" w:rsidDel="00000000" w:rsidP="00000000" w:rsidRDefault="00000000" w:rsidRPr="00000000" w14:paraId="00000062">
      <w:pPr>
        <w:jc w:val="center"/>
        <w:rPr/>
      </w:pPr>
      <w:r w:rsidDel="00000000" w:rsidR="00000000" w:rsidRPr="00000000">
        <w:rPr>
          <w:sz w:val="36"/>
          <w:szCs w:val="36"/>
          <w:vertAlign w:val="subscript"/>
        </w:rPr>
        <w:drawing>
          <wp:inline distB="0" distT="0" distL="114300" distR="114300">
            <wp:extent cx="1814195" cy="899795"/>
            <wp:effectExtent b="0" l="0" r="0" t="0"/>
            <wp:docPr id="24"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1814195" cy="89979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test the hypothesis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219709" cy="241300"/>
            <wp:effectExtent b="0" l="0" r="0" t="0"/>
            <wp:docPr id="27"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219709" cy="241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the category can’t sort samples</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statistic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3635375" cy="1031239"/>
            <wp:effectExtent b="0" l="0" r="0" t="0"/>
            <wp:docPr id="29"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635375" cy="1031239"/>
                    </a:xfrm>
                    <a:prstGeom prst="rect"/>
                    <a:ln/>
                  </pic:spPr>
                </pic:pic>
              </a:graphicData>
            </a:graphic>
          </wp:inline>
        </w:drawing>
      </w:r>
      <w:r w:rsidDel="00000000" w:rsidR="00000000" w:rsidRPr="00000000">
        <w:rPr>
          <w:rFonts w:ascii="Times New Roman" w:cs="Times New Roman" w:eastAsia="Times New Roman" w:hAnsi="Times New Roman"/>
          <w:rtl w:val="0"/>
        </w:rPr>
        <w:t xml:space="preserve"> is large, then we reject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219709" cy="241300"/>
            <wp:effectExtent b="0" l="0" r="0" t="0"/>
            <wp:docPr id="31"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219709" cy="241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that is, if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892175" cy="263525"/>
            <wp:effectExtent b="0" l="0" r="0" t="0"/>
            <wp:docPr id="33"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892175" cy="263525"/>
                    </a:xfrm>
                    <a:prstGeom prst="rect"/>
                    <a:ln/>
                  </pic:spPr>
                </pic:pic>
              </a:graphicData>
            </a:graphic>
          </wp:inline>
        </w:drawing>
      </w:r>
      <w:r w:rsidDel="00000000" w:rsidR="00000000" w:rsidRPr="00000000">
        <w:rPr>
          <w:rFonts w:ascii="Times New Roman" w:cs="Times New Roman" w:eastAsia="Times New Roman" w:hAnsi="Times New Roman"/>
          <w:rtl w:val="0"/>
        </w:rPr>
        <w:t xml:space="preserve"> then reject </w:t>
      </w:r>
      <w:r w:rsidDel="00000000" w:rsidR="00000000" w:rsidRPr="00000000">
        <w:rPr>
          <w:rFonts w:ascii="Times New Roman" w:cs="Times New Roman" w:eastAsia="Times New Roman" w:hAnsi="Times New Roman"/>
          <w:sz w:val="36"/>
          <w:szCs w:val="36"/>
          <w:vertAlign w:val="subscript"/>
        </w:rPr>
        <w:drawing>
          <wp:inline distB="0" distT="0" distL="114300" distR="114300">
            <wp:extent cx="219709" cy="241300"/>
            <wp:effectExtent b="0" l="0" r="0" t="0"/>
            <wp:docPr id="35"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219709"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76" w:lineRule="auto"/>
        <w:rPr/>
        <w:sectPr>
          <w:type w:val="continuous"/>
          <w:pgSz w:h="16820" w:w="11900"/>
          <w:pgMar w:bottom="1440" w:top="1440" w:left="1800" w:right="1800" w:header="851" w:footer="992"/>
        </w:sectPr>
      </w:pPr>
      <w:r w:rsidDel="00000000" w:rsidR="00000000" w:rsidRPr="00000000">
        <w:rPr>
          <w:rtl w:val="0"/>
        </w:rPr>
      </w:r>
    </w:p>
    <w:p w:rsidR="00000000" w:rsidDel="00000000" w:rsidP="00000000" w:rsidRDefault="00000000" w:rsidRPr="00000000" w14:paraId="00000068">
      <w:pPr>
        <w:pStyle w:val="Heading1"/>
        <w:rPr/>
      </w:pPr>
      <w:bookmarkStart w:colFirst="0" w:colLast="0" w:name="_2s8eyo1" w:id="9"/>
      <w:bookmarkEnd w:id="9"/>
      <w:r w:rsidDel="00000000" w:rsidR="00000000" w:rsidRPr="00000000">
        <w:rPr>
          <w:rtl w:val="0"/>
        </w:rPr>
        <w:t xml:space="preserve">Supplementary References</w:t>
      </w:r>
    </w:p>
    <w:p w:rsidR="00000000" w:rsidDel="00000000" w:rsidP="00000000" w:rsidRDefault="00000000" w:rsidRPr="00000000" w14:paraId="0000006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A">
      <w:pPr>
        <w:widowControl w:val="0"/>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rFonts w:ascii="Cambria" w:cs="Cambria" w:eastAsia="Cambria" w:hAnsi="Cambria"/>
          <w:rtl w:val="0"/>
        </w:rPr>
        <w:t xml:space="preserve">Butler, A., Hoffman, P., Smibert, P., Papalexi, E., and Satija, R. (2018). Integrating single-cell transcriptomic data across different conditions, technologies, and species. Nat Biotechnol 36, 411-+.</w:t>
      </w:r>
      <w:r w:rsidDel="00000000" w:rsidR="00000000" w:rsidRPr="00000000">
        <w:rPr>
          <w:rtl w:val="0"/>
        </w:rPr>
      </w:r>
    </w:p>
    <w:p w:rsidR="00000000" w:rsidDel="00000000" w:rsidP="00000000" w:rsidRDefault="00000000" w:rsidRPr="00000000" w14:paraId="0000006B">
      <w:pPr>
        <w:widowControl w:val="0"/>
        <w:numPr>
          <w:ilvl w:val="0"/>
          <w:numId w:val="1"/>
        </w:numPr>
        <w:pBdr>
          <w:top w:space="0" w:sz="0" w:val="nil"/>
          <w:left w:space="0" w:sz="0" w:val="nil"/>
          <w:bottom w:space="0" w:sz="0" w:val="nil"/>
          <w:right w:space="0" w:sz="0" w:val="nil"/>
          <w:between w:space="0" w:sz="0" w:val="nil"/>
        </w:pBdr>
        <w:ind w:left="720" w:hanging="360"/>
        <w:jc w:val="both"/>
        <w:rPr>
          <w:rFonts w:ascii="Cambria" w:cs="Cambria" w:eastAsia="Cambria" w:hAnsi="Cambria"/>
        </w:rPr>
      </w:pPr>
      <w:r w:rsidDel="00000000" w:rsidR="00000000" w:rsidRPr="00000000">
        <w:rPr>
          <w:rFonts w:ascii="Cambria" w:cs="Cambria" w:eastAsia="Cambria" w:hAnsi="Cambria"/>
          <w:rtl w:val="0"/>
        </w:rPr>
        <w:t xml:space="preserve">Lazar, C., Meganck, S., Taminau, J., Steenhoff, D., Coletta, A., Molter, C., Weiss-Solis, D.Y., Duque, R., Bersini, H., and Nowe, A. (2013). Batch effect removal methods for microarray gene expression data integration: a survey. Brief Bioinform 14, 469-490.</w:t>
      </w:r>
    </w:p>
    <w:p w:rsidR="00000000" w:rsidDel="00000000" w:rsidP="00000000" w:rsidRDefault="00000000" w:rsidRPr="00000000" w14:paraId="0000006C">
      <w:pPr>
        <w:widowControl w:val="0"/>
        <w:numPr>
          <w:ilvl w:val="0"/>
          <w:numId w:val="1"/>
        </w:numPr>
        <w:pBdr>
          <w:top w:space="0" w:sz="0" w:val="nil"/>
          <w:left w:space="0" w:sz="0" w:val="nil"/>
          <w:bottom w:space="0" w:sz="0" w:val="nil"/>
          <w:right w:space="0" w:sz="0" w:val="nil"/>
          <w:between w:space="0" w:sz="0" w:val="nil"/>
        </w:pBdr>
        <w:ind w:left="720" w:hanging="360"/>
        <w:jc w:val="both"/>
        <w:rPr>
          <w:rFonts w:ascii="Cambria" w:cs="Cambria" w:eastAsia="Cambria" w:hAnsi="Cambria"/>
        </w:rPr>
      </w:pPr>
      <w:r w:rsidDel="00000000" w:rsidR="00000000" w:rsidRPr="00000000">
        <w:rPr>
          <w:rFonts w:ascii="Cambria" w:cs="Cambria" w:eastAsia="Cambria" w:hAnsi="Cambria"/>
          <w:rtl w:val="0"/>
        </w:rPr>
        <w:t xml:space="preserve">Lopez, R., Regier, J., Cole, M.B., Jordan, M.I., and Yosef, N. (2018). Deep generative modeling for single-cell transcriptomics. Nat Methods 15, 1053-+.</w:t>
      </w:r>
    </w:p>
    <w:sectPr>
      <w:type w:val="continuous"/>
      <w:pgSz w:h="16820" w:w="11900"/>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SimSun"/>
  <w:font w:name="Arial"/>
  <w:font w:name="Calibri"/>
  <w:font w:name="Times New Roman"/>
  <w:font w:name="Georgia"/>
  <w:font w:name="Cambr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tabs>
        <w:tab w:val="center" w:pos="4320"/>
        <w:tab w:val="right" w:pos="8640"/>
      </w:tabs>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tabs>
        <w:tab w:val="center" w:pos="4320"/>
        <w:tab w:val="right" w:pos="8640"/>
      </w:tabs>
      <w:jc w:val="both"/>
      <w:rPr>
        <w:rFonts w:ascii="Cambria" w:cs="Cambria" w:eastAsia="Cambria" w:hAnsi="Cambria"/>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tabs>
        <w:tab w:val="center" w:pos="4320"/>
        <w:tab w:val="right" w:pos="8640"/>
      </w:tabs>
      <w:jc w:val="center"/>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tabs>
        <w:tab w:val="center" w:pos="4320"/>
        <w:tab w:val="right" w:pos="8640"/>
      </w:tabs>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widowControl w:val="0"/>
      <w:pBdr>
        <w:top w:space="0" w:sz="0" w:val="nil"/>
        <w:left w:space="0" w:sz="0" w:val="nil"/>
        <w:bottom w:color="000000" w:space="0" w:sz="0" w:val="none"/>
        <w:right w:space="0" w:sz="0" w:val="nil"/>
        <w:between w:space="0" w:sz="0" w:val="nil"/>
      </w:pBdr>
      <w:tabs>
        <w:tab w:val="center" w:pos="4153"/>
        <w:tab w:val="right" w:pos="8306"/>
      </w:tabs>
      <w:jc w:val="center"/>
      <w:rPr>
        <w:rFonts w:ascii="Cambria" w:cs="Cambria" w:eastAsia="Cambria" w:hAnsi="Cambria"/>
        <w:color w:val="000000"/>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widowControl w:val="0"/>
      <w:pBdr>
        <w:top w:space="0" w:sz="0" w:val="nil"/>
        <w:left w:space="0" w:sz="0" w:val="nil"/>
        <w:bottom w:color="000000" w:space="0" w:sz="0" w:val="none"/>
        <w:right w:space="0" w:sz="0" w:val="nil"/>
        <w:between w:space="0" w:sz="0" w:val="nil"/>
      </w:pBdr>
      <w:tabs>
        <w:tab w:val="center" w:pos="4153"/>
        <w:tab w:val="right" w:pos="8306"/>
      </w:tabs>
      <w:jc w:val="center"/>
      <w:rPr>
        <w:rFonts w:ascii="Cambria" w:cs="Cambria" w:eastAsia="Cambria" w:hAnsi="Cambria"/>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SimSun" w:cs="SimSun" w:eastAsia="SimSun" w:hAnsi="SimSun"/>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line="276" w:lineRule="auto"/>
    </w:pPr>
    <w:rPr>
      <w:rFonts w:ascii="Arial" w:cs="Arial" w:eastAsia="Arial" w:hAnsi="Arial"/>
      <w:b w:val="1"/>
      <w:color w:val="000000"/>
      <w:sz w:val="32"/>
      <w:szCs w:val="32"/>
    </w:rPr>
  </w:style>
  <w:style w:type="paragraph" w:styleId="Heading2">
    <w:name w:val="heading 2"/>
    <w:basedOn w:val="Normal"/>
    <w:next w:val="Normal"/>
    <w:pPr>
      <w:keepNext w:val="1"/>
      <w:keepLines w:val="1"/>
      <w:widowControl w:val="0"/>
      <w:spacing w:before="200" w:lineRule="auto"/>
      <w:jc w:val="both"/>
    </w:pPr>
    <w:rPr>
      <w:rFonts w:ascii="Arial" w:cs="Arial" w:eastAsia="Arial" w:hAnsi="Arial"/>
      <w:b w:val="1"/>
      <w:color w:val="000000"/>
      <w:sz w:val="22"/>
      <w:szCs w:val="22"/>
    </w:rPr>
  </w:style>
  <w:style w:type="paragraph" w:styleId="Heading3">
    <w:name w:val="heading 3"/>
    <w:basedOn w:val="Normal"/>
    <w:next w:val="Normal"/>
    <w:pPr>
      <w:keepNext w:val="1"/>
      <w:keepLines w:val="1"/>
      <w:widowControl w:val="0"/>
      <w:spacing w:before="40" w:lineRule="auto"/>
      <w:jc w:val="both"/>
    </w:pPr>
    <w:rPr>
      <w:rFonts w:ascii="Calibri" w:cs="Calibri" w:eastAsia="Calibri" w:hAnsi="Calibri"/>
      <w:color w:val="243f61"/>
      <w:sz w:val="22"/>
      <w:szCs w:val="22"/>
    </w:rPr>
  </w:style>
  <w:style w:type="paragraph" w:styleId="Heading4">
    <w:name w:val="heading 4"/>
    <w:basedOn w:val="Normal"/>
    <w:next w:val="Normal"/>
    <w:pPr>
      <w:keepNext w:val="1"/>
      <w:keepLines w:val="1"/>
      <w:spacing w:after="40" w:before="240" w:lineRule="auto"/>
    </w:pPr>
    <w:rPr>
      <w:rFonts w:ascii="Times New Roman" w:cs="Times New Roman" w:eastAsia="Times New Roman" w:hAnsi="Times New Roman"/>
      <w:b w:val="1"/>
    </w:rPr>
  </w:style>
  <w:style w:type="paragraph" w:styleId="Heading5">
    <w:name w:val="heading 5"/>
    <w:basedOn w:val="Normal"/>
    <w:next w:val="Normal"/>
    <w:pPr>
      <w:keepNext w:val="1"/>
      <w:keepLines w:val="1"/>
      <w:spacing w:after="40" w:before="220" w:lineRule="auto"/>
    </w:pPr>
    <w:rPr>
      <w:rFonts w:ascii="Times New Roman" w:cs="Times New Roman" w:eastAsia="Times New Roman" w:hAnsi="Times New Roman"/>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rFonts w:ascii="Times New Roman" w:cs="Times New Roman" w:eastAsia="Times New Roman" w:hAnsi="Times New Roman"/>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footer" Target="footer2.xml"/><Relationship Id="rId42" Type="http://schemas.openxmlformats.org/officeDocument/2006/relationships/image" Target="media/image32.png"/><Relationship Id="rId41" Type="http://schemas.openxmlformats.org/officeDocument/2006/relationships/image" Target="media/image19.png"/><Relationship Id="rId22" Type="http://schemas.openxmlformats.org/officeDocument/2006/relationships/image" Target="media/image25.png"/><Relationship Id="rId21" Type="http://schemas.openxmlformats.org/officeDocument/2006/relationships/image" Target="media/image26.png"/><Relationship Id="rId24" Type="http://schemas.openxmlformats.org/officeDocument/2006/relationships/image" Target="media/image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29.png"/><Relationship Id="rId25" Type="http://schemas.openxmlformats.org/officeDocument/2006/relationships/image" Target="media/image22.png"/><Relationship Id="rId28" Type="http://schemas.openxmlformats.org/officeDocument/2006/relationships/image" Target="media/image8.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5.png"/><Relationship Id="rId7" Type="http://schemas.openxmlformats.org/officeDocument/2006/relationships/image" Target="media/image16.png"/><Relationship Id="rId8" Type="http://schemas.openxmlformats.org/officeDocument/2006/relationships/image" Target="media/image14.png"/><Relationship Id="rId31" Type="http://schemas.openxmlformats.org/officeDocument/2006/relationships/image" Target="media/image10.png"/><Relationship Id="rId30" Type="http://schemas.openxmlformats.org/officeDocument/2006/relationships/image" Target="media/image1.png"/><Relationship Id="rId11" Type="http://schemas.openxmlformats.org/officeDocument/2006/relationships/image" Target="media/image11.png"/><Relationship Id="rId33" Type="http://schemas.openxmlformats.org/officeDocument/2006/relationships/image" Target="media/image31.png"/><Relationship Id="rId10" Type="http://schemas.openxmlformats.org/officeDocument/2006/relationships/image" Target="media/image17.png"/><Relationship Id="rId32" Type="http://schemas.openxmlformats.org/officeDocument/2006/relationships/image" Target="media/image6.png"/><Relationship Id="rId13" Type="http://schemas.openxmlformats.org/officeDocument/2006/relationships/image" Target="media/image3.png"/><Relationship Id="rId35" Type="http://schemas.openxmlformats.org/officeDocument/2006/relationships/image" Target="media/image12.png"/><Relationship Id="rId12" Type="http://schemas.openxmlformats.org/officeDocument/2006/relationships/image" Target="media/image13.png"/><Relationship Id="rId34" Type="http://schemas.openxmlformats.org/officeDocument/2006/relationships/image" Target="media/image9.png"/><Relationship Id="rId15" Type="http://schemas.openxmlformats.org/officeDocument/2006/relationships/image" Target="media/image20.png"/><Relationship Id="rId37" Type="http://schemas.openxmlformats.org/officeDocument/2006/relationships/image" Target="media/image18.png"/><Relationship Id="rId14" Type="http://schemas.openxmlformats.org/officeDocument/2006/relationships/image" Target="media/image7.png"/><Relationship Id="rId36" Type="http://schemas.openxmlformats.org/officeDocument/2006/relationships/image" Target="media/image2.png"/><Relationship Id="rId17" Type="http://schemas.openxmlformats.org/officeDocument/2006/relationships/header" Target="header1.xml"/><Relationship Id="rId39" Type="http://schemas.openxmlformats.org/officeDocument/2006/relationships/image" Target="media/image23.png"/><Relationship Id="rId16" Type="http://schemas.openxmlformats.org/officeDocument/2006/relationships/image" Target="media/image27.png"/><Relationship Id="rId38" Type="http://schemas.openxmlformats.org/officeDocument/2006/relationships/image" Target="media/image24.png"/><Relationship Id="rId19" Type="http://schemas.openxmlformats.org/officeDocument/2006/relationships/footer" Target="footer1.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