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Online Methods</w:t>
      </w:r>
    </w:p>
    <w:p w:rsidR="00000000" w:rsidDel="00000000" w:rsidP="00000000" w:rsidRDefault="00000000" w:rsidRPr="00000000" w14:paraId="00000002">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Processing extracellular small RNA datasets</w:t>
      </w: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 downloaded exosomal small RNA-seq data (S-exoRNA-seq) from GEO (accession: GSE71008). GSE71008 contains samples from three cancer types: CRC (100 samples), PRAD (36 samples) and PAAD (6 samples) and 50 samples from healthy donors. We excluded PAAD from our analysis due the small sample size. The cell free small RNA-seq dataset was compiled from 4 publications (GSE123972, GSE113994, GSE53080 and GSE94582). The GSE123973 (S-cfRNA-seq) dataset was generated from our previous study and is currently not public in GEO, which contains 30 blood plasma samples from HCC patients and 13 samples from healthy donors. GSE113994, GSE53080 and GSE94582 were all derived from healthy donors. GSE113994 originally contained 216 samples from healthy donors. To reduce sample imbalance between data sources, we filtered samples with less than 2,000,000 reads, &gt; 20% UniVec-mapped reads (described below) or &gt; 20% unmapped reads, resulting in 53 samples. The cfRNA dataset containing 132 samples was analyzed using a unified processing pipeline.</w:t>
      </w:r>
    </w:p>
    <w:p w:rsidR="00000000" w:rsidDel="00000000" w:rsidP="00000000" w:rsidRDefault="00000000" w:rsidRPr="00000000" w14:paraId="00000004">
      <w:pPr>
        <w:spacing w:line="48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In the reads cleaning step, we first trimmed 3’ adapters for each read using cutadapt. Reads with average quality score below 30 or shorter than 16nt after adapter trimming were discarded. In the reads mapping step, we adopted sequential mapping strategy to map reads to multiple sequence databases to increase sensitivity for detection of RNA types of interest (e.g. noncoding RNA). Bowtie2 was used with the “--sensitive” option and disabled local alignment. Reads were first mapped to spike-in sequence if spike-in RNA added to the library. The remaining reads were then mapped to UniVec database (from NCBI UniVec database) and rRNA database (from NCBI RefSeq database). Reads mapped to spike-in sequences, UniVec or rRNA were removed.</w:t>
      </w:r>
    </w:p>
    <w:p w:rsidR="00000000" w:rsidDel="00000000" w:rsidP="00000000" w:rsidRDefault="00000000" w:rsidRPr="00000000" w14:paraId="00000005">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Remaining reads after the first three steps were then mapped to RNA types of interest according a pre-defined order: lncRNA, miRNA, mRNA, piRNA, snoRNA, snRNA, srpRNA, tRNA, TUCP RNA and Y RNA. lncRNA was set to the highest priority to increase the sensitivity of detection of lncRNA peaks. miRNA sequences were downloaded from miRBase. Reads that overlap with mature miRNA annotations were assigned to that mature miRNA. piRNA sequences were downloaded from piRNABank. The genomic locations of other RNA types were extracted from the GENCODE V27 annotation file according the “gene_type” attribute in each record. Sequences of all exons that belong to a transcript were joined such that reads could be mapped to splicing junctions without a junction-aware mapping software. For long RNAs with multiple isoforms, we only extracted sequences of the longest isoform to avoid ambiguity for mapping reads to exons shared by multiple isoforms. Reads that could not be mapped to predefined RNA types were mapped to genome sequences (UCSC genome build hg38) and assigned RNA type “other”. Reads of “other” type were then annotated as “promoter”, “enhancer”, “repeats”, “genomic”. Promoter and enhancer regions were defined based on chromatin states discovered by the ChromHMM software from 9 cell lines. ChromHMM tracks were downloaded from the UCSC Genome Browser (</w:t>
      </w:r>
      <w:hyperlink r:id="rId7">
        <w:r w:rsidDel="00000000" w:rsidR="00000000" w:rsidRPr="00000000">
          <w:rPr>
            <w:rFonts w:ascii="Times New Roman" w:cs="Times New Roman" w:eastAsia="Times New Roman" w:hAnsi="Times New Roman"/>
            <w:color w:val="000000"/>
            <w:sz w:val="22"/>
            <w:szCs w:val="22"/>
            <w:u w:val="none"/>
            <w:rtl w:val="0"/>
          </w:rPr>
          <w:t xml:space="preserve">http://rohsdb.cmb.usc.edu/GBshape/cgi-bin/hgTrackUi?db=hg19&amp;g=wgEncodeBroadHmm</w:t>
        </w:r>
      </w:hyperlink>
      <w:r w:rsidDel="00000000" w:rsidR="00000000" w:rsidRPr="00000000">
        <w:rPr>
          <w:rFonts w:ascii="Times New Roman" w:cs="Times New Roman" w:eastAsia="Times New Roman" w:hAnsi="Times New Roman"/>
          <w:sz w:val="22"/>
          <w:szCs w:val="22"/>
          <w:rtl w:val="0"/>
        </w:rPr>
        <w:t xml:space="preserve">) and converted to hg38 coordinates using CrossMap. Promoters were defined by three ChromHMM states “Active Promoter”, “Weak Promoter” and “Posed Promoter”. Enhancers were defined by three ChromHMM states “Strong Enhancer”, “Weak Enhancer”. Repeats regions were downloaded from the RepeatMasker track from UCSC Genome Browser (the “rmsk” table). Reads that could be mapped to the genome but could not be mapped to promoter, enhancer or repeats were defined as “genomic”. In the last step, reads that could not be mapped to human genome were mapped to circular RNAs from circBase. We only consider reads that span across back-splicing junctions as circular RNA reads. Reads that could not be mapped to circular RNA were defined as “unmapped”.</w:t>
      </w:r>
    </w:p>
    <w:p w:rsidR="00000000" w:rsidDel="00000000" w:rsidP="00000000" w:rsidRDefault="00000000" w:rsidRPr="00000000" w14:paraId="00000006">
      <w:pPr>
        <w:spacing w:line="48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Processing extracellular long RNA datasets</w:t>
      </w:r>
    </w:p>
    <w:p w:rsidR="00000000" w:rsidDel="00000000" w:rsidP="00000000" w:rsidRDefault="00000000" w:rsidRPr="00000000" w14:paraId="00000007">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Exosomal long RNA-seq (L-exoRNA-seq) datasets were downloaded from exoRBase (</w:t>
      </w:r>
      <w:hyperlink r:id="rId8">
        <w:r w:rsidDel="00000000" w:rsidR="00000000" w:rsidRPr="00000000">
          <w:rPr>
            <w:rFonts w:ascii="Times New Roman" w:cs="Times New Roman" w:eastAsia="Times New Roman" w:hAnsi="Times New Roman"/>
            <w:color w:val="000000"/>
            <w:sz w:val="22"/>
            <w:szCs w:val="22"/>
            <w:u w:val="none"/>
            <w:rtl w:val="0"/>
          </w:rPr>
          <w:t xml:space="preserve">http://exorbase.org/</w:t>
        </w:r>
      </w:hyperlink>
      <w:r w:rsidDel="00000000" w:rsidR="00000000" w:rsidRPr="00000000">
        <w:rPr>
          <w:rFonts w:ascii="Times New Roman" w:cs="Times New Roman" w:eastAsia="Times New Roman" w:hAnsi="Times New Roman"/>
          <w:sz w:val="22"/>
          <w:szCs w:val="22"/>
          <w:rtl w:val="0"/>
        </w:rPr>
        <w:t xml:space="preserve">). 12 CRC, 14 HCC, 14 PAAD and 32 normal samples were used in this study. Any adapters present in paired-end reads were removed using cutadapt. Read pairs with average quality score below 30 in either read of the pair were removed. Read pairs were then mapped three sequences databases (rRNA, human genome, circular RNA) using the sequential mapping strategy similar to the small RNA reads mapping strategy. In the genome mapping step, a genome index was generated using STAR with splicing junction annotations from GENCODE V27. Circular RNA mapping was similar to the strategy used in the small RNA mapping pipeline, with additional requirement that the genomic interval defined by a read pair (from 5’-end in read 1 to 3’-end in read 2) should overlap the back-splicing junction. Only read pairs mapped to human genome or circular RNA were included in further analysis. We removed duplicated read pairs using picard MarkDuplicates because the dataset contains a large proportion of duplicated reads due to PCR amplification in library construction. Finally, a gene count matrix was generated using featureCounts with options “-t exon -g gene_id -M -s 1”.</w:t>
      </w:r>
    </w:p>
    <w:p w:rsidR="00000000" w:rsidDel="00000000" w:rsidP="00000000" w:rsidRDefault="00000000" w:rsidRPr="00000000" w14:paraId="00000008">
      <w:pPr>
        <w:spacing w:line="48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Domain detection</w:t>
      </w:r>
    </w:p>
    <w:p w:rsidR="00000000" w:rsidDel="00000000" w:rsidP="00000000" w:rsidRDefault="00000000" w:rsidRPr="00000000" w14:paraId="00000009">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Domain detection is similar to the peak calling in CLIP-seq/ChIP-seq datasets. However, peak calling for exRNA data is different from CLIP-seq/ChIP-seq datasets in several aspects: (1) a ChIP-seq experiment typically includes an input DNA control library to normalize non-uniform coverage in DNA sequencing, which was not available in most exRNA datasets; (2) CLIP-seq peak calling tools such as PARalyzer, CIMS utilize characteristic events caused by cross-linking to determine the RBP binding sites at single nucleotide resolution, which is not present in exRNA datasets; (3) Universal peak calling tools, e.g. Piranha, detect significant peaks using coverage of the start location of each mapped reads, which may deviates from the true peak location. We developed a domain detection algorithm for exRNA data with similar ideas to Piranha, but could detect domain locations with higher sensitivity and better resolution. </w:t>
      </w:r>
    </w:p>
    <w:p w:rsidR="00000000" w:rsidDel="00000000" w:rsidP="00000000" w:rsidRDefault="00000000" w:rsidRPr="00000000" w14:paraId="0000000A">
      <w:pPr>
        <w:spacing w:line="480"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Local maximum-based peak calling</w:t>
      </w:r>
    </w:p>
    <w:p w:rsidR="00000000" w:rsidDel="00000000" w:rsidP="00000000" w:rsidRDefault="00000000" w:rsidRPr="00000000" w14:paraId="0000000B">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We proposed a method for precise calling of peak boundaries at single-nucleotide resolution based on local maximum of the read coverage. We called peaks for each transcript independently. First, we divided a transcript into 10nt bins and calculated average read coverage over each bin. We filtered out bins with average read coverage below 5. Starting with the start position of the first effective bin (coverage higher than 5), we searched local maximum of coverage in both directions. Once a local maximum was found, we extended the peak from the position of the local maximum in both directions until the read coverage of a position drops below 5 or below half of the local maximum. The peak finding procedure was performed from 5’ to 3’ of the transcript to identify all peak candidates. We removed peaks shorter than 10nt and merged adjacent peaks. </w:t>
      </w: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ZTNB test-based peak calling</w:t>
      </w:r>
    </w:p>
    <w:p w:rsidR="00000000" w:rsidDel="00000000" w:rsidP="00000000" w:rsidRDefault="00000000" w:rsidRPr="00000000" w14:paraId="0000000D">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We first divided the transcriptome and genome into 20nt bins and count number of reads that overlap each bin with at least 1 nucleotide for each sample. Similar to Piranha, we fitted a zero-truncated negative binomial (ZTNB) model to read counts of all bins with at least one read. P-values were calculated for each bin under the null hypothesis that read counts of the bin is smaller than the mean. Multiple hypothesis correction was applied to the p-values following the BH procedure and bins with adjusted p-values below 0.05 was considered as significant. However, the ZTNB test described above could miss some peaks because the read counts used to fit the null distribution contains bins with significantly large read counts. To increase the sensitivity of domain detection, we removed significant bins identified in the first step of ZTNB test and used the remaining bins for a second step of ZTNB test. The second step of ZTNB test was similar to the first step. The significant bins identified in the two rounds of ZTNB test was then merged into one set. Adjacent bins (distance = 0) were merged into a single domain. </w:t>
      </w:r>
    </w:p>
    <w:p w:rsidR="00000000" w:rsidDel="00000000" w:rsidP="00000000" w:rsidRDefault="00000000" w:rsidRPr="00000000" w14:paraId="0000000E">
      <w:pPr>
        <w:spacing w:line="480"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Identify recurrently detected peaks</w:t>
      </w:r>
    </w:p>
    <w:p w:rsidR="00000000" w:rsidDel="00000000" w:rsidP="00000000" w:rsidRDefault="00000000" w:rsidRPr="00000000" w14:paraId="0000000F">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The peak calling procedure described above was performed independently for each sample using all reads mapped to the longest isoform of each gene specified in sequential mapping. We defined more confident peaks by combining peak intervals of all samples and compute peak recurrence, i.e. number of samples that with at least one peak that coverage each nucleotide, along all transcripts. Only regions with peak recurrence &gt; 10% were kept and merged to define confident peaks. We treated the confident peaks as additional features to genes and count number of reads overlapping each peak in each sample.</w:t>
      </w:r>
    </w:p>
    <w:p w:rsidR="00000000" w:rsidDel="00000000" w:rsidP="00000000" w:rsidRDefault="00000000" w:rsidRPr="00000000" w14:paraId="00000010">
      <w:pPr>
        <w:spacing w:line="48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Structure analysis of domains</w:t>
      </w:r>
    </w:p>
    <w:p w:rsidR="00000000" w:rsidDel="00000000" w:rsidP="00000000" w:rsidRDefault="00000000" w:rsidRPr="00000000" w14:paraId="00000011">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 downloaded icSHAPE data (generated from human HEK293 cell line)  from GEO (GSE74353)  and calculated icSHAPE reactivities using icSHAPE analysis pipeline published in (</w:t>
      </w:r>
      <w:r w:rsidDel="00000000" w:rsidR="00000000" w:rsidRPr="00000000">
        <w:rPr>
          <w:rFonts w:ascii="Times New Roman" w:cs="Times New Roman" w:eastAsia="Times New Roman" w:hAnsi="Times New Roman"/>
          <w:color w:val="ff0000"/>
          <w:sz w:val="22"/>
          <w:szCs w:val="22"/>
          <w:rtl w:val="0"/>
        </w:rPr>
        <w:t xml:space="preserve">Spitale et al. 2015</w:t>
      </w:r>
      <w:r w:rsidDel="00000000" w:rsidR="00000000" w:rsidRPr="00000000">
        <w:rPr>
          <w:rFonts w:ascii="Times New Roman" w:cs="Times New Roman" w:eastAsia="Times New Roman" w:hAnsi="Times New Roman"/>
          <w:sz w:val="22"/>
          <w:szCs w:val="22"/>
          <w:rtl w:val="0"/>
        </w:rPr>
        <w:t xml:space="preserve">). For each confident domain detected in a small RNA-seq dataset, we averaged icSHAPE reactivities along the peak. Background regions were generated by shuffling confident domains within all transcripts with at least one mapped reads across all samples in that dataset. </w:t>
      </w:r>
    </w:p>
    <w:p w:rsidR="00000000" w:rsidDel="00000000" w:rsidP="00000000" w:rsidRDefault="00000000" w:rsidRPr="00000000" w14:paraId="00000012">
      <w:pPr>
        <w:spacing w:line="48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Protein-binding analysis of domains</w:t>
      </w:r>
    </w:p>
    <w:p w:rsidR="00000000" w:rsidDel="00000000" w:rsidP="00000000" w:rsidRDefault="00000000" w:rsidRPr="00000000" w14:paraId="00000013">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 obtained RBP binding sites from POSTAR2 database (</w:t>
      </w:r>
      <w:hyperlink r:id="rId9">
        <w:r w:rsidDel="00000000" w:rsidR="00000000" w:rsidRPr="00000000">
          <w:rPr>
            <w:rFonts w:ascii="Times New Roman" w:cs="Times New Roman" w:eastAsia="Times New Roman" w:hAnsi="Times New Roman"/>
            <w:color w:val="1155cc"/>
            <w:sz w:val="22"/>
            <w:szCs w:val="22"/>
            <w:u w:val="single"/>
            <w:rtl w:val="0"/>
          </w:rPr>
          <w:t xml:space="preserve">http://lulab.life.tsinghua.edu.cn/postar2/</w:t>
        </w:r>
      </w:hyperlink>
      <w:r w:rsidDel="00000000" w:rsidR="00000000" w:rsidRPr="00000000">
        <w:rPr>
          <w:rFonts w:ascii="Times New Roman" w:cs="Times New Roman" w:eastAsia="Times New Roman" w:hAnsi="Times New Roman"/>
          <w:sz w:val="22"/>
          <w:szCs w:val="22"/>
          <w:rtl w:val="0"/>
        </w:rPr>
        <w:t xml:space="preserve">) and filtered based on the following criteria: (1) if a CLIP-seq experiments for one RBP was conducted in more than two cell types in HEK293, HEK293T and HeLa, only one cell type was used; (2) only one technologies was used for one RBP; (3) only peaks called by Piranha with FDR threshold of 0.01 was used. We counted number of confident exRNA domains bound by at least one RBP in each exRNA dataset. Background regions were generated by shuffling confident exRNA domains similarly to structure analysis. </w:t>
      </w:r>
    </w:p>
    <w:p w:rsidR="00000000" w:rsidDel="00000000" w:rsidP="00000000" w:rsidRDefault="00000000" w:rsidRPr="00000000" w14:paraId="00000014">
      <w:pPr>
        <w:spacing w:line="48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Library size normalization</w:t>
      </w:r>
    </w:p>
    <w:p w:rsidR="00000000" w:rsidDel="00000000" w:rsidP="00000000" w:rsidRDefault="00000000" w:rsidRPr="00000000" w14:paraId="00000015">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To normalize expression matrix, we try four methods, CPM, CPM-top, TMM and RLE, then RLEplot shows the pros and cons of  these methods. </w:t>
      </w:r>
      <w:r w:rsidDel="00000000" w:rsidR="00000000" w:rsidRPr="00000000">
        <w:rPr>
          <w:rFonts w:ascii="Times New Roman" w:cs="Times New Roman" w:eastAsia="Times New Roman" w:hAnsi="Times New Roman"/>
          <w:sz w:val="22"/>
          <w:szCs w:val="22"/>
          <w:highlight w:val="white"/>
          <w:rtl w:val="0"/>
        </w:rPr>
        <w:t xml:space="preserve">CPM (counts per million) normalization adjusts library sizes based on the assumption that library sizes are the same among samples. </w:t>
      </w:r>
      <w:r w:rsidDel="00000000" w:rsidR="00000000" w:rsidRPr="00000000">
        <w:rPr>
          <w:rFonts w:ascii="Times New Roman" w:cs="Times New Roman" w:eastAsia="Times New Roman" w:hAnsi="Times New Roman"/>
          <w:sz w:val="22"/>
          <w:szCs w:val="22"/>
          <w:rtl w:val="0"/>
        </w:rPr>
        <w:t xml:space="preserve">CPM-top </w:t>
      </w:r>
      <w:r w:rsidDel="00000000" w:rsidR="00000000" w:rsidRPr="00000000">
        <w:rPr>
          <w:rFonts w:ascii="Times New Roman" w:cs="Times New Roman" w:eastAsia="Times New Roman" w:hAnsi="Times New Roman"/>
          <w:sz w:val="22"/>
          <w:szCs w:val="22"/>
          <w:highlight w:val="white"/>
          <w:rtl w:val="0"/>
        </w:rPr>
        <w:t xml:space="preserve">normalization removes the top ten genes with high expression levels, then applies CPM normalization based on the assumption the expression of the top ten genes with high expression levels accounts for most of the total expression and weaken the differences of library sizes. </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2"/>
          <w:szCs w:val="22"/>
          <w:highlight w:val="white"/>
          <w:rtl w:val="0"/>
        </w:rPr>
        <w:t xml:space="preserve">The Trimmed Mean of M-values (TMM) normalization estimates the </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2"/>
          <w:szCs w:val="22"/>
          <w:highlight w:val="white"/>
          <w:rtl w:val="0"/>
        </w:rPr>
        <w:t xml:space="preserve">relative scaling factor (</w:t>
      </w:r>
      <w:r w:rsidDel="00000000" w:rsidR="00000000" w:rsidRPr="00000000">
        <w:rPr>
          <w:rFonts w:ascii="Times New Roman" w:cs="Times New Roman" w:eastAsia="Times New Roman" w:hAnsi="Times New Roman"/>
          <w:i w:val="1"/>
          <w:sz w:val="22"/>
          <w:szCs w:val="22"/>
          <w:highlight w:val="white"/>
          <w:rtl w:val="0"/>
        </w:rPr>
        <w:t xml:space="preserve">fk</w:t>
      </w:r>
      <w:r w:rsidDel="00000000" w:rsidR="00000000" w:rsidRPr="00000000">
        <w:rPr>
          <w:rFonts w:ascii="Times New Roman" w:cs="Times New Roman" w:eastAsia="Times New Roman" w:hAnsi="Times New Roman"/>
          <w:sz w:val="22"/>
          <w:szCs w:val="22"/>
          <w:highlight w:val="white"/>
          <w:rtl w:val="0"/>
        </w:rPr>
        <w:t xml:space="preserve">) in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2"/>
          <w:szCs w:val="22"/>
          <w:highlight w:val="white"/>
          <w:rtl w:val="0"/>
        </w:rPr>
        <w:t xml:space="preserve">a two-sample comparison based on the assumption that the majority of genes are not differentially expressed. </w:t>
      </w:r>
      <w:commentRangeStart w:id="0"/>
      <w:r w:rsidDel="00000000" w:rsidR="00000000" w:rsidRPr="00000000">
        <w:rPr>
          <w:rFonts w:ascii="Times New Roman" w:cs="Times New Roman" w:eastAsia="Times New Roman" w:hAnsi="Times New Roman"/>
          <w:sz w:val="22"/>
          <w:szCs w:val="22"/>
          <w:highlight w:val="white"/>
          <w:rtl w:val="0"/>
        </w:rPr>
        <w:t xml:space="preserve">Relative Log Expression (RLE) is based on “size factors” that renders counts from different samples comparable.</w:t>
      </w:r>
      <w:commentRangeEnd w:id="0"/>
      <w:r w:rsidDel="00000000" w:rsidR="00000000" w:rsidRPr="00000000">
        <w:commentReference w:id="0"/>
      </w:r>
      <w:r w:rsidDel="00000000" w:rsidR="00000000" w:rsidRPr="00000000">
        <w:rPr>
          <w:rFonts w:ascii="Times New Roman" w:cs="Times New Roman" w:eastAsia="Times New Roman" w:hAnsi="Times New Roman"/>
          <w:sz w:val="22"/>
          <w:szCs w:val="22"/>
          <w:highlight w:val="white"/>
          <w:rtl w:val="0"/>
        </w:rPr>
        <w:t xml:space="preserve"> We plot RLEplots using normalized matrix and define variant score to depict the effect of methods (Supplementary).</w:t>
      </w: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Batch effect correction</w:t>
      </w:r>
    </w:p>
    <w:p w:rsidR="00000000" w:rsidDel="00000000" w:rsidP="00000000" w:rsidRDefault="00000000" w:rsidRPr="00000000" w14:paraId="00000017">
      <w:pPr>
        <w:spacing w:line="480" w:lineRule="auto"/>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rtl w:val="0"/>
        </w:rPr>
        <w:t xml:space="preserve"> To remove batch effects, we try three methods, RUV, ComBat and limma. </w:t>
      </w:r>
      <w:r w:rsidDel="00000000" w:rsidR="00000000" w:rsidRPr="00000000">
        <w:rPr>
          <w:rFonts w:ascii="Times New Roman" w:cs="Times New Roman" w:eastAsia="Times New Roman" w:hAnsi="Times New Roman"/>
          <w:sz w:val="22"/>
          <w:szCs w:val="22"/>
          <w:highlight w:val="white"/>
          <w:rtl w:val="0"/>
        </w:rPr>
        <w:t xml:space="preserve">Remove unwanted variation (RUV), adjusts for nuisance technical effects by performing factor analysis on suitable sets of samples (e.g., replicate libraries). </w:t>
      </w:r>
      <w:r w:rsidDel="00000000" w:rsidR="00000000" w:rsidRPr="00000000">
        <w:rPr>
          <w:rFonts w:ascii="Times New Roman" w:cs="Times New Roman" w:eastAsia="Times New Roman" w:hAnsi="Times New Roman"/>
          <w:sz w:val="22"/>
          <w:szCs w:val="22"/>
          <w:highlight w:val="white"/>
          <w:rtl w:val="0"/>
        </w:rPr>
        <w:t xml:space="preserve">ComBat uses either parametric or non-parametric empirical Bayes frameworks for adjusting data for batch effects. Linear Models for Microarray and RNA-Seq Data (Limma) uses linear models to assess differential expression in the context of multifactor designed experiments. </w:t>
      </w:r>
    </w:p>
    <w:p w:rsidR="00000000" w:rsidDel="00000000" w:rsidP="00000000" w:rsidRDefault="00000000" w:rsidRPr="00000000" w14:paraId="00000018">
      <w:pPr>
        <w:spacing w:line="480" w:lineRule="auto"/>
        <w:rPr>
          <w:rFonts w:ascii="Times New Roman" w:cs="Times New Roman" w:eastAsia="Times New Roman" w:hAnsi="Times New Roman"/>
          <w:sz w:val="22"/>
          <w:szCs w:val="22"/>
          <w:highlight w:val="white"/>
        </w:rPr>
      </w:pPr>
      <w:commentRangeStart w:id="1"/>
      <w:r w:rsidDel="00000000" w:rsidR="00000000" w:rsidRPr="00000000">
        <w:rPr>
          <w:rFonts w:ascii="Times New Roman" w:cs="Times New Roman" w:eastAsia="Times New Roman" w:hAnsi="Times New Roman"/>
          <w:sz w:val="22"/>
          <w:szCs w:val="22"/>
          <w:highlight w:val="white"/>
          <w:rtl w:val="0"/>
        </w:rPr>
        <w:t xml:space="preserve">parameters setting</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Matrix processing evaluation</w:t>
      </w:r>
    </w:p>
    <w:p w:rsidR="00000000" w:rsidDel="00000000" w:rsidP="00000000" w:rsidRDefault="00000000" w:rsidRPr="00000000" w14:paraId="0000001A">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We develop m K-nearest neighbor (mKNN) score and Unsupervised Clustering Accuracy (UCA) score to evaluate normalization methods.</w:t>
      </w:r>
    </w:p>
    <w:p w:rsidR="00000000" w:rsidDel="00000000" w:rsidP="00000000" w:rsidRDefault="00000000" w:rsidRPr="00000000" w14:paraId="0000001B">
      <w:pPr>
        <w:spacing w:line="4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2"/>
          <w:szCs w:val="22"/>
        </w:rPr>
      </w:pPr>
      <m:oMath/>
      <w:r w:rsidDel="00000000" w:rsidR="00000000" w:rsidRPr="00000000">
        <w:rPr>
          <w:rFonts w:ascii="Times New Roman" w:cs="Times New Roman" w:eastAsia="Times New Roman" w:hAnsi="Times New Roman"/>
          <w:sz w:val="22"/>
          <w:szCs w:val="22"/>
          <w:rtl w:val="0"/>
        </w:rPr>
        <w:t xml:space="preserve">m K-nearest neighbor (mKNN) score</w:t>
      </w:r>
    </w:p>
    <w:p w:rsidR="00000000" w:rsidDel="00000000" w:rsidP="00000000" w:rsidRDefault="00000000" w:rsidRPr="00000000" w14:paraId="0000001E">
      <w:pPr>
        <w:spacing w:line="4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 propose mkNN score based on the alignment score used in a single-cell sequencing data integration method. The original alignment score assumes that single-cell sequencing samples are from multiple batches and belong to different cell types. For each cell, look for the nearest k cells based on the gene expression profile, and then count the ratio of the cells from the same batch. If there is a significant batch effect, the ratio of the nearest k cells to the same batch will be larger (close to 1). Conversely, if there is no significant batch effect, the proportion of batches of k nearest neighbors should be similar to the ratio of all batches from that batch, which is equivalent to randomly selecting k cells from the population. The proportion of the nearest k cells can be normalized by assuming the expected no batch effect, resulting in a value that mostly ranges between 0-1, called the alignment score:</w:t>
      </w:r>
    </w:p>
    <w:p w:rsidR="00000000" w:rsidDel="00000000" w:rsidP="00000000" w:rsidRDefault="00000000" w:rsidRPr="00000000" w14:paraId="00000020">
      <w:pPr>
        <w:jc w:val="center"/>
        <w:rPr>
          <w:rFonts w:ascii="Cambria Math" w:cs="Cambria Math" w:eastAsia="Cambria Math" w:hAnsi="Cambria Math"/>
          <w:sz w:val="22"/>
          <w:szCs w:val="22"/>
        </w:rPr>
      </w:pPr>
      <m:oMath>
        <m:r>
          <w:rPr>
            <w:rFonts w:ascii="Cambria Math" w:cs="Cambria Math" w:eastAsia="Cambria Math" w:hAnsi="Cambria Math"/>
            <w:sz w:val="22"/>
            <w:szCs w:val="22"/>
          </w:rPr>
          <m:t xml:space="preserve">1-</m:t>
        </m:r>
        <m:f>
          <m:fPr>
            <m:ctrlPr>
              <w:rPr>
                <w:rFonts w:ascii="Cambria Math" w:cs="Cambria Math" w:eastAsia="Cambria Math" w:hAnsi="Cambria Math"/>
                <w:sz w:val="22"/>
                <w:szCs w:val="22"/>
              </w:rPr>
            </m:ctrlPr>
          </m:fPr>
          <m:num>
            <m:bar>
              <m:barPr>
                <m:pos/>
                <m:ctrlPr>
                  <w:rPr>
                    <w:rFonts w:ascii="Cambria Math" w:cs="Cambria Math" w:eastAsia="Cambria Math" w:hAnsi="Cambria Math"/>
                    <w:sz w:val="22"/>
                    <w:szCs w:val="22"/>
                  </w:rPr>
                </m:ctrlPr>
              </m:barPr>
              <m:e>
                <m:r>
                  <w:rPr>
                    <w:rFonts w:ascii="Cambria Math" w:cs="Cambria Math" w:eastAsia="Cambria Math" w:hAnsi="Cambria Math"/>
                    <w:sz w:val="22"/>
                    <w:szCs w:val="22"/>
                  </w:rPr>
                  <m:t xml:space="preserve">x</m:t>
                </m:r>
              </m:e>
            </m:bar>
            <m:r>
              <w:rPr>
                <w:rFonts w:ascii="Cambria Math" w:cs="Cambria Math" w:eastAsia="Cambria Math" w:hAnsi="Cambria Math"/>
                <w:sz w:val="22"/>
                <w:szCs w:val="22"/>
              </w:rPr>
              <m:t xml:space="preserve">-k/N</m:t>
            </m:r>
          </m:num>
          <m:den>
            <m:r>
              <w:rPr>
                <w:rFonts w:ascii="Cambria Math" w:cs="Cambria Math" w:eastAsia="Cambria Math" w:hAnsi="Cambria Math"/>
                <w:sz w:val="22"/>
                <w:szCs w:val="22"/>
              </w:rPr>
              <m:t xml:space="preserve">k-k/N)</m:t>
            </m:r>
          </m:den>
        </m:f>
      </m:oMath>
      <w:r w:rsidDel="00000000" w:rsidR="00000000" w:rsidRPr="00000000">
        <w:rPr>
          <w:rtl w:val="0"/>
        </w:rPr>
      </w:r>
    </w:p>
    <w:p w:rsidR="00000000" w:rsidDel="00000000" w:rsidP="00000000" w:rsidRDefault="00000000" w:rsidRPr="00000000" w14:paraId="00000021">
      <w:pPr>
        <w:jc w:val="center"/>
        <w:rPr>
          <w:rFonts w:ascii="Cambria Math" w:cs="Cambria Math" w:eastAsia="Cambria Math" w:hAnsi="Cambria Math"/>
          <w:sz w:val="22"/>
          <w:szCs w:val="22"/>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Where N is the number of all cells and x is the average of the ratio of the nearest batch of cells from the same batch to the cell. The Alignment score has a value less than 1 and may be less than 0. The alignment score is close to 0 when there are no batches at all.</w:t>
      </w:r>
    </w:p>
    <w:p w:rsidR="00000000" w:rsidDel="00000000" w:rsidP="00000000" w:rsidRDefault="00000000" w:rsidRPr="00000000" w14:paraId="00000023">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limitation of the Alignment score is that it can only be applied to two batches. We extended the alignment score to multiple batches and proposed the mKNN indicator:</w:t>
      </w:r>
    </w:p>
    <w:p w:rsidR="00000000" w:rsidDel="00000000" w:rsidP="00000000" w:rsidRDefault="00000000" w:rsidRPr="00000000" w14:paraId="00000024">
      <w:pPr>
        <w:jc w:val="center"/>
        <w:rPr>
          <w:rFonts w:ascii="Times New Roman" w:cs="Times New Roman" w:eastAsia="Times New Roman" w:hAnsi="Times New Roman"/>
          <w:sz w:val="22"/>
          <w:szCs w:val="22"/>
        </w:rPr>
      </w:pPr>
      <m:oMath>
        <m:f>
          <m:fPr>
            <m:ctrlPr>
              <w:rPr>
                <w:rFonts w:ascii="Times New Roman" w:cs="Times New Roman" w:eastAsia="Times New Roman" w:hAnsi="Times New Roman"/>
                <w:sz w:val="22"/>
                <w:szCs w:val="22"/>
              </w:rPr>
            </m:ctrlPr>
          </m:fPr>
          <m:num>
            <m:r>
              <w:rPr>
                <w:rFonts w:ascii="Times New Roman" w:cs="Times New Roman" w:eastAsia="Times New Roman" w:hAnsi="Times New Roman"/>
                <w:sz w:val="22"/>
                <w:szCs w:val="22"/>
              </w:rPr>
              <m:t xml:space="preserve">1</m:t>
            </m:r>
          </m:num>
          <m:den>
            <m:r>
              <w:rPr>
                <w:rFonts w:ascii="Times New Roman" w:cs="Times New Roman" w:eastAsia="Times New Roman" w:hAnsi="Times New Roman"/>
                <w:sz w:val="22"/>
                <w:szCs w:val="22"/>
              </w:rPr>
              <m:t xml:space="preserve">B</m:t>
            </m:r>
          </m:den>
        </m:f>
        <m:nary>
          <m:naryPr>
            <m:chr m:val="∑"/>
            <m:ctrlPr>
              <w:rPr>
                <w:rFonts w:ascii="Cambria Math" w:cs="Cambria Math" w:eastAsia="Cambria Math" w:hAnsi="Cambria Math"/>
                <w:sz w:val="22"/>
                <w:szCs w:val="22"/>
              </w:rPr>
            </m:ctrlPr>
          </m:naryPr>
          <m:sub>
            <m:r>
              <w:rPr>
                <w:rFonts w:ascii="Cambria Math" w:cs="Cambria Math" w:eastAsia="Cambria Math" w:hAnsi="Cambria Math"/>
                <w:sz w:val="22"/>
                <w:szCs w:val="22"/>
              </w:rPr>
              <m:t xml:space="preserve">b=1</m:t>
            </m:r>
          </m:sub>
          <m:sup>
            <m:r>
              <w:rPr>
                <w:rFonts w:ascii="Cambria Math" w:cs="Cambria Math" w:eastAsia="Cambria Math" w:hAnsi="Cambria Math"/>
                <w:sz w:val="22"/>
                <w:szCs w:val="22"/>
              </w:rPr>
              <m:t xml:space="preserve">B</m:t>
            </m:r>
          </m:sup>
        </m:nary>
        <m:f>
          <m:fPr>
            <m:ctrlPr>
              <w:rPr>
                <w:rFonts w:ascii="Cambria Math" w:cs="Cambria Math" w:eastAsia="Cambria Math" w:hAnsi="Cambria Math"/>
                <w:sz w:val="22"/>
                <w:szCs w:val="22"/>
              </w:rPr>
            </m:ctrlPr>
          </m:fPr>
          <m:num>
            <m:bar>
              <m:barPr>
                <m:pos/>
                <m:ctrlPr>
                  <w:rPr>
                    <w:rFonts w:ascii="Cambria Math" w:cs="Cambria Math" w:eastAsia="Cambria Math" w:hAnsi="Cambria Math"/>
                    <w:sz w:val="22"/>
                    <w:szCs w:val="22"/>
                  </w:rPr>
                </m:ctrlPr>
              </m:barPr>
              <m:e>
                <m:r>
                  <w:rPr>
                    <w:rFonts w:ascii="Cambria Math" w:cs="Cambria Math" w:eastAsia="Cambria Math" w:hAnsi="Cambria Math"/>
                    <w:sz w:val="22"/>
                    <w:szCs w:val="22"/>
                  </w:rPr>
                  <m:t xml:space="preserve">x</m:t>
                </m:r>
                <m:sSub>
                  <m:sSubPr>
                    <m:ctrlPr>
                      <w:rPr>
                        <w:rFonts w:ascii="Cambria Math" w:cs="Cambria Math" w:eastAsia="Cambria Math" w:hAnsi="Cambria Math"/>
                        <w:sz w:val="22"/>
                        <w:szCs w:val="22"/>
                      </w:rPr>
                    </m:ctrlPr>
                  </m:sSubPr>
                  <m:e/>
                  <m:sub>
                    <m:r>
                      <w:rPr>
                        <w:rFonts w:ascii="Cambria Math" w:cs="Cambria Math" w:eastAsia="Cambria Math" w:hAnsi="Cambria Math"/>
                        <w:sz w:val="22"/>
                        <w:szCs w:val="22"/>
                      </w:rPr>
                      <m:t xml:space="preserve">b</m:t>
                    </m:r>
                  </m:sub>
                </m:sSub>
              </m:e>
            </m:bar>
            <m:r>
              <w:rPr>
                <w:rFonts w:ascii="Cambria Math" w:cs="Cambria Math" w:eastAsia="Cambria Math" w:hAnsi="Cambria Math"/>
                <w:sz w:val="22"/>
                <w:szCs w:val="22"/>
              </w:rPr>
              <m:t xml:space="preserve">-kN</m:t>
            </m:r>
            <m:sSub>
              <m:sSubPr>
                <m:ctrlPr>
                  <w:rPr>
                    <w:rFonts w:ascii="Cambria Math" w:cs="Cambria Math" w:eastAsia="Cambria Math" w:hAnsi="Cambria Math"/>
                    <w:sz w:val="22"/>
                    <w:szCs w:val="22"/>
                  </w:rPr>
                </m:ctrlPr>
              </m:sSubPr>
              <m:e>
                <m:sSub>
                  <m:sSubPr>
                    <m:ctrlPr>
                      <w:rPr>
                        <w:rFonts w:ascii="Cambria Math" w:cs="Cambria Math" w:eastAsia="Cambria Math" w:hAnsi="Cambria Math"/>
                        <w:sz w:val="22"/>
                        <w:szCs w:val="22"/>
                      </w:rPr>
                    </m:ctrlPr>
                  </m:sSubPr>
                  <m:e/>
                  <m:sub>
                    <m:r>
                      <w:rPr>
                        <w:rFonts w:ascii="Cambria Math" w:cs="Cambria Math" w:eastAsia="Cambria Math" w:hAnsi="Cambria Math"/>
                        <w:sz w:val="22"/>
                        <w:szCs w:val="22"/>
                      </w:rPr>
                      <m:t xml:space="preserve">b/(N-1)</m:t>
                    </m:r>
                  </m:sub>
                </m:sSub>
              </m:e>
              <m:sub/>
            </m:sSub>
          </m:num>
          <m:den>
            <m:r>
              <w:rPr>
                <w:rFonts w:ascii="Cambria Math" w:cs="Cambria Math" w:eastAsia="Cambria Math" w:hAnsi="Cambria Math"/>
                <w:sz w:val="22"/>
                <w:szCs w:val="22"/>
              </w:rPr>
              <m:t xml:space="preserve">min(k, N</m:t>
            </m:r>
            <m:sSub>
              <m:sSubPr>
                <m:ctrlPr>
                  <w:rPr>
                    <w:rFonts w:ascii="Cambria Math" w:cs="Cambria Math" w:eastAsia="Cambria Math" w:hAnsi="Cambria Math"/>
                    <w:sz w:val="22"/>
                    <w:szCs w:val="22"/>
                  </w:rPr>
                </m:ctrlPr>
              </m:sSubPr>
              <m:e/>
              <m:sub>
                <m:r>
                  <w:rPr>
                    <w:rFonts w:ascii="Cambria Math" w:cs="Cambria Math" w:eastAsia="Cambria Math" w:hAnsi="Cambria Math"/>
                    <w:sz w:val="22"/>
                    <w:szCs w:val="22"/>
                  </w:rPr>
                  <m:t xml:space="preserve">b</m:t>
                </m:r>
              </m:sub>
            </m:sSub>
            <m:r>
              <w:rPr>
                <w:rFonts w:ascii="Cambria Math" w:cs="Cambria Math" w:eastAsia="Cambria Math" w:hAnsi="Cambria Math"/>
                <w:sz w:val="22"/>
                <w:szCs w:val="22"/>
              </w:rPr>
              <m:t xml:space="preserve">) - kN</m:t>
            </m:r>
            <m:sSub>
              <m:sSubPr>
                <m:ctrlPr>
                  <w:rPr>
                    <w:rFonts w:ascii="Cambria Math" w:cs="Cambria Math" w:eastAsia="Cambria Math" w:hAnsi="Cambria Math"/>
                    <w:sz w:val="22"/>
                    <w:szCs w:val="22"/>
                  </w:rPr>
                </m:ctrlPr>
              </m:sSubPr>
              <m:e/>
              <m:sub>
                <m:r>
                  <w:rPr>
                    <w:rFonts w:ascii="Cambria Math" w:cs="Cambria Math" w:eastAsia="Cambria Math" w:hAnsi="Cambria Math"/>
                    <w:sz w:val="22"/>
                    <w:szCs w:val="22"/>
                  </w:rPr>
                  <m:t xml:space="preserve">b</m:t>
                </m:r>
              </m:sub>
            </m:sSub>
            <m:r>
              <w:rPr>
                <w:rFonts w:ascii="Cambria Math" w:cs="Cambria Math" w:eastAsia="Cambria Math" w:hAnsi="Cambria Math"/>
                <w:sz w:val="22"/>
                <w:szCs w:val="22"/>
              </w:rPr>
              <m:t xml:space="preserve">/(N-1)</m:t>
            </m:r>
          </m:den>
        </m:f>
        <m:r>
          <w:rPr>
            <w:rFonts w:ascii="Cambria Math" w:cs="Cambria Math" w:eastAsia="Cambria Math" w:hAnsi="Cambria Math"/>
            <w:sz w:val="22"/>
            <w:szCs w:val="22"/>
          </w:rPr>
          <m:t xml:space="preserve">    </m:t>
        </m:r>
      </m:oMath>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Where B is the number of species in the batch, b is the number of the batch, N b is the number of samples with batch number b, and x b is the same batch of samples from the nearest nearest neighbor of each sample. The average of the number of samples. In actual use, for convenience, we use 1 – mKNN instead of mKNN, so that the more obvious the batch effect is, the closer the indicator is to zero.</w:t>
      </w:r>
    </w:p>
    <w:p w:rsidR="00000000" w:rsidDel="00000000" w:rsidP="00000000" w:rsidRDefault="00000000" w:rsidRPr="00000000" w14:paraId="00000026">
      <w:pPr>
        <w:spacing w:line="4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Unsupervised Clustering Accuracy score</w:t>
      </w:r>
    </w:p>
    <w:p w:rsidR="00000000" w:rsidDel="00000000" w:rsidP="00000000" w:rsidRDefault="00000000" w:rsidRPr="00000000" w14:paraId="00000028">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To quantify clustering effect of PCA/t-SNE. We use Unsupervised Clustering Accuracy (UCA) score. We first use k-means algorithm on full dimension feature or dimension reduced feature by PCA/t-SNE. We use cluster.KMeans function in scikit-learn package with n_init = 200 and cluster number equals to unique number of true label y. KMeans algorithm will assign a predicted label to each sample. To quantify the clustering accuracy, we take a cluster assignment from an unsupervised algorithm and a ground truth assignment and then finds the best matching between them. The best mapping can be efficiently computed by the Hungarian algorithm which is implemented in scikit-learn as linear_assignment. Based on best matching, the accuracy is the ratio of right ‘prediction’ sample number and total sample number.</w:t>
      </w:r>
    </w:p>
    <w:p w:rsidR="00000000" w:rsidDel="00000000" w:rsidP="00000000" w:rsidRDefault="00000000" w:rsidRPr="00000000" w14:paraId="00000029">
      <w:pPr>
        <w:spacing w:line="48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Recurrence-based feature selection</w:t>
      </w:r>
    </w:p>
    <w:p w:rsidR="00000000" w:rsidDel="00000000" w:rsidP="00000000" w:rsidRDefault="00000000" w:rsidRPr="00000000" w14:paraId="0000002A">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robust feature selection, 90% of training samples was randomly selected to train a classifier (random forest, Logistic regression, etc.). Features were ranked by their feature importance (random forest) or absolute values of coefficients (Logistic regression) and then the top </w:t>
      </w:r>
      <w:r w:rsidDel="00000000" w:rsidR="00000000" w:rsidRPr="00000000">
        <w:rPr>
          <w:rFonts w:ascii="Times New Roman" w:cs="Times New Roman" w:eastAsia="Times New Roman" w:hAnsi="Times New Roman"/>
          <w:i w:val="1"/>
          <w:sz w:val="22"/>
          <w:szCs w:val="22"/>
          <w:rtl w:val="0"/>
        </w:rPr>
        <w:t xml:space="preserve">k</w:t>
      </w:r>
      <w:r w:rsidDel="00000000" w:rsidR="00000000" w:rsidRPr="00000000">
        <w:rPr>
          <w:rFonts w:ascii="Times New Roman" w:cs="Times New Roman" w:eastAsia="Times New Roman" w:hAnsi="Times New Roman"/>
          <w:sz w:val="22"/>
          <w:szCs w:val="22"/>
          <w:rtl w:val="0"/>
        </w:rPr>
        <w:t xml:space="preserve"> features were marked as selected. The model training and feature selection procedure was repeated for 10 times using different random 90% of training samples each time. Features were then ranked by recurrence, i.e. number of times a feature is selected across subsampling runs. The top </w:t>
      </w:r>
      <w:r w:rsidDel="00000000" w:rsidR="00000000" w:rsidRPr="00000000">
        <w:rPr>
          <w:rFonts w:ascii="Times New Roman" w:cs="Times New Roman" w:eastAsia="Times New Roman" w:hAnsi="Times New Roman"/>
          <w:i w:val="1"/>
          <w:sz w:val="22"/>
          <w:szCs w:val="22"/>
          <w:rtl w:val="0"/>
        </w:rPr>
        <w:t xml:space="preserve">k</w:t>
      </w:r>
      <w:r w:rsidDel="00000000" w:rsidR="00000000" w:rsidRPr="00000000">
        <w:rPr>
          <w:rFonts w:ascii="Times New Roman" w:cs="Times New Roman" w:eastAsia="Times New Roman" w:hAnsi="Times New Roman"/>
          <w:sz w:val="22"/>
          <w:szCs w:val="22"/>
          <w:rtl w:val="0"/>
        </w:rPr>
        <w:t xml:space="preserve"> features with highest recurrence was selected as robust features. The number of features to select (</w:t>
      </w:r>
      <w:r w:rsidDel="00000000" w:rsidR="00000000" w:rsidRPr="00000000">
        <w:rPr>
          <w:rFonts w:ascii="Times New Roman" w:cs="Times New Roman" w:eastAsia="Times New Roman" w:hAnsi="Times New Roman"/>
          <w:i w:val="1"/>
          <w:sz w:val="22"/>
          <w:szCs w:val="22"/>
          <w:rtl w:val="0"/>
        </w:rPr>
        <w:t xml:space="preserve">k</w:t>
      </w:r>
      <w:r w:rsidDel="00000000" w:rsidR="00000000" w:rsidRPr="00000000">
        <w:rPr>
          <w:rFonts w:ascii="Times New Roman" w:cs="Times New Roman" w:eastAsia="Times New Roman" w:hAnsi="Times New Roman"/>
          <w:sz w:val="22"/>
          <w:szCs w:val="22"/>
          <w:rtl w:val="0"/>
        </w:rPr>
        <w:t xml:space="preserve">) was specified by the user. Typically, we set a range of values for </w:t>
      </w:r>
      <w:r w:rsidDel="00000000" w:rsidR="00000000" w:rsidRPr="00000000">
        <w:rPr>
          <w:rFonts w:ascii="Times New Roman" w:cs="Times New Roman" w:eastAsia="Times New Roman" w:hAnsi="Times New Roman"/>
          <w:i w:val="1"/>
          <w:sz w:val="22"/>
          <w:szCs w:val="22"/>
          <w:rtl w:val="0"/>
        </w:rPr>
        <w:t xml:space="preserve">k</w:t>
      </w:r>
      <w:r w:rsidDel="00000000" w:rsidR="00000000" w:rsidRPr="00000000">
        <w:rPr>
          <w:rFonts w:ascii="Times New Roman" w:cs="Times New Roman" w:eastAsia="Times New Roman" w:hAnsi="Times New Roman"/>
          <w:sz w:val="22"/>
          <w:szCs w:val="22"/>
          <w:rtl w:val="0"/>
        </w:rPr>
        <w:t xml:space="preserve"> (e.g. 1 - 10) and select </w:t>
      </w:r>
      <w:r w:rsidDel="00000000" w:rsidR="00000000" w:rsidRPr="00000000">
        <w:rPr>
          <w:rFonts w:ascii="Times New Roman" w:cs="Times New Roman" w:eastAsia="Times New Roman" w:hAnsi="Times New Roman"/>
          <w:i w:val="1"/>
          <w:sz w:val="22"/>
          <w:szCs w:val="22"/>
          <w:rtl w:val="0"/>
        </w:rPr>
        <w:t xml:space="preserve">k</w:t>
      </w:r>
      <w:r w:rsidDel="00000000" w:rsidR="00000000" w:rsidRPr="00000000">
        <w:rPr>
          <w:rFonts w:ascii="Times New Roman" w:cs="Times New Roman" w:eastAsia="Times New Roman" w:hAnsi="Times New Roman"/>
          <w:sz w:val="22"/>
          <w:szCs w:val="22"/>
          <w:rtl w:val="0"/>
        </w:rPr>
        <w:t xml:space="preserve"> that is sufficient to achieve expected performance.</w:t>
      </w:r>
    </w:p>
    <w:p w:rsidR="00000000" w:rsidDel="00000000" w:rsidP="00000000" w:rsidRDefault="00000000" w:rsidRPr="00000000" w14:paraId="0000002B">
      <w:pPr>
        <w:spacing w:line="48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Random subset-based feature selection</w:t>
      </w:r>
    </w:p>
    <w:p w:rsidR="00000000" w:rsidDel="00000000" w:rsidP="00000000" w:rsidRDefault="00000000" w:rsidRPr="00000000" w14:paraId="0000002C">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 developed a feature selection wrapper for gene expression data, which contains a large number of features with a small sample size. Our method requires a classifier (e.g. random forest) that can be trained on samples to obtain feature weights. Instead of training a classifier on all features, our method trains a classifier on a subset of features (</w:t>
      </w:r>
      <w:r w:rsidDel="00000000" w:rsidR="00000000" w:rsidRPr="00000000">
        <w:rPr>
          <w:rFonts w:ascii="Times New Roman" w:cs="Times New Roman" w:eastAsia="Times New Roman" w:hAnsi="Times New Roman"/>
          <w:i w:val="1"/>
          <w:sz w:val="22"/>
          <w:szCs w:val="22"/>
          <w:rtl w:val="0"/>
        </w:rPr>
        <w:t xml:space="preserve">S</w:t>
      </w:r>
      <w:r w:rsidDel="00000000" w:rsidR="00000000" w:rsidRPr="00000000">
        <w:rPr>
          <w:rFonts w:ascii="Times New Roman" w:cs="Times New Roman" w:eastAsia="Times New Roman" w:hAnsi="Times New Roman"/>
          <w:sz w:val="22"/>
          <w:szCs w:val="22"/>
          <w:rtl w:val="0"/>
        </w:rPr>
        <w:t xml:space="preserve"> features) selected by random each time and repeated the feature subsetting and training process for </w:t>
      </w:r>
      <w:r w:rsidDel="00000000" w:rsidR="00000000" w:rsidRPr="00000000">
        <w:rPr>
          <w:rFonts w:ascii="Times New Roman" w:cs="Times New Roman" w:eastAsia="Times New Roman" w:hAnsi="Times New Roman"/>
          <w:i w:val="1"/>
          <w:sz w:val="22"/>
          <w:szCs w:val="22"/>
          <w:rtl w:val="0"/>
        </w:rPr>
        <w:t xml:space="preserve">T</w:t>
      </w:r>
      <w:r w:rsidDel="00000000" w:rsidR="00000000" w:rsidRPr="00000000">
        <w:rPr>
          <w:rFonts w:ascii="Times New Roman" w:cs="Times New Roman" w:eastAsia="Times New Roman" w:hAnsi="Times New Roman"/>
          <w:sz w:val="22"/>
          <w:szCs w:val="22"/>
          <w:rtl w:val="0"/>
        </w:rPr>
        <w:t xml:space="preserve"> times. We obtained feature weights on each subset of features and calculated average of weights across subsets. Finally, we selected </w:t>
      </w:r>
      <w:r w:rsidDel="00000000" w:rsidR="00000000" w:rsidRPr="00000000">
        <w:rPr>
          <w:rFonts w:ascii="Times New Roman" w:cs="Times New Roman" w:eastAsia="Times New Roman" w:hAnsi="Times New Roman"/>
          <w:i w:val="1"/>
          <w:sz w:val="22"/>
          <w:szCs w:val="22"/>
          <w:rtl w:val="0"/>
        </w:rPr>
        <w:t xml:space="preserve">k</w:t>
      </w:r>
      <w:r w:rsidDel="00000000" w:rsidR="00000000" w:rsidRPr="00000000">
        <w:rPr>
          <w:rFonts w:ascii="Times New Roman" w:cs="Times New Roman" w:eastAsia="Times New Roman" w:hAnsi="Times New Roman"/>
          <w:sz w:val="22"/>
          <w:szCs w:val="22"/>
          <w:rtl w:val="0"/>
        </w:rPr>
        <w:t xml:space="preserve"> features with highest feature weights. Two important parameters for our method is subset size </w:t>
      </w:r>
      <w:r w:rsidDel="00000000" w:rsidR="00000000" w:rsidRPr="00000000">
        <w:rPr>
          <w:rFonts w:ascii="Times New Roman" w:cs="Times New Roman" w:eastAsia="Times New Roman" w:hAnsi="Times New Roman"/>
          <w:i w:val="1"/>
          <w:sz w:val="22"/>
          <w:szCs w:val="22"/>
          <w:rtl w:val="0"/>
        </w:rPr>
        <w:t xml:space="preserve">S</w:t>
      </w:r>
      <w:r w:rsidDel="00000000" w:rsidR="00000000" w:rsidRPr="00000000">
        <w:rPr>
          <w:rFonts w:ascii="Times New Roman" w:cs="Times New Roman" w:eastAsia="Times New Roman" w:hAnsi="Times New Roman"/>
          <w:sz w:val="22"/>
          <w:szCs w:val="22"/>
          <w:rtl w:val="0"/>
        </w:rPr>
        <w:t xml:space="preserve"> and number of subsets </w:t>
      </w:r>
      <w:r w:rsidDel="00000000" w:rsidR="00000000" w:rsidRPr="00000000">
        <w:rPr>
          <w:rFonts w:ascii="Times New Roman" w:cs="Times New Roman" w:eastAsia="Times New Roman" w:hAnsi="Times New Roman"/>
          <w:i w:val="1"/>
          <w:sz w:val="22"/>
          <w:szCs w:val="22"/>
          <w:rtl w:val="0"/>
        </w:rPr>
        <w:t xml:space="preserve">T</w:t>
      </w:r>
      <w:r w:rsidDel="00000000" w:rsidR="00000000" w:rsidRPr="00000000">
        <w:rPr>
          <w:rFonts w:ascii="Times New Roman" w:cs="Times New Roman" w:eastAsia="Times New Roman" w:hAnsi="Times New Roman"/>
          <w:sz w:val="22"/>
          <w:szCs w:val="22"/>
          <w:rtl w:val="0"/>
        </w:rPr>
        <w:t xml:space="preserve">, which can be optimized by grid search. We set </w:t>
      </w:r>
      <w:r w:rsidDel="00000000" w:rsidR="00000000" w:rsidRPr="00000000">
        <w:rPr>
          <w:rFonts w:ascii="Times New Roman" w:cs="Times New Roman" w:eastAsia="Times New Roman" w:hAnsi="Times New Roman"/>
          <w:i w:val="1"/>
          <w:sz w:val="22"/>
          <w:szCs w:val="22"/>
          <w:rtl w:val="0"/>
        </w:rPr>
        <w:t xml:space="preserve">S</w:t>
      </w:r>
      <w:r w:rsidDel="00000000" w:rsidR="00000000" w:rsidRPr="00000000">
        <w:rPr>
          <w:rFonts w:ascii="Times New Roman" w:cs="Times New Roman" w:eastAsia="Times New Roman" w:hAnsi="Times New Roman"/>
          <w:sz w:val="22"/>
          <w:szCs w:val="22"/>
          <w:rtl w:val="0"/>
        </w:rPr>
        <w:t xml:space="preserve"> to 50 and </w:t>
      </w:r>
      <w:r w:rsidDel="00000000" w:rsidR="00000000" w:rsidRPr="00000000">
        <w:rPr>
          <w:rFonts w:ascii="Times New Roman" w:cs="Times New Roman" w:eastAsia="Times New Roman" w:hAnsi="Times New Roman"/>
          <w:i w:val="1"/>
          <w:sz w:val="22"/>
          <w:szCs w:val="22"/>
          <w:rtl w:val="0"/>
        </w:rPr>
        <w:t xml:space="preserve">T</w:t>
      </w:r>
      <w:r w:rsidDel="00000000" w:rsidR="00000000" w:rsidRPr="00000000">
        <w:rPr>
          <w:rFonts w:ascii="Times New Roman" w:cs="Times New Roman" w:eastAsia="Times New Roman" w:hAnsi="Times New Roman"/>
          <w:sz w:val="22"/>
          <w:szCs w:val="22"/>
          <w:rtl w:val="0"/>
        </w:rPr>
        <w:t xml:space="preserve"> to 40 to reconcile between computational time and performance.</w:t>
      </w:r>
    </w:p>
    <w:p w:rsidR="00000000" w:rsidDel="00000000" w:rsidP="00000000" w:rsidRDefault="00000000" w:rsidRPr="00000000" w14:paraId="0000002D">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random subset feature selection strategy has several advantages: (1) Computation complexity is reduced for classifiers that scales badly to large number of features, (2) Feature correlation is reduced because a small subset of features are selected each time.</w:t>
      </w:r>
    </w:p>
    <w:p w:rsidR="00000000" w:rsidDel="00000000" w:rsidP="00000000" w:rsidRDefault="00000000" w:rsidRPr="00000000" w14:paraId="0000002E">
      <w:pPr>
        <w:spacing w:line="48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Performance evaluation of feature selection and classification methods</w:t>
      </w:r>
    </w:p>
    <w:p w:rsidR="00000000" w:rsidDel="00000000" w:rsidP="00000000" w:rsidRDefault="00000000" w:rsidRPr="00000000" w14:paraId="0000002F">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normalized expression matrix was log2-transformed with a pseudo-count of 1 added to each entry to prevent numeric ill-conditioning. Then we centered each feature by their sample-wise mean and scaled by sample-wise standard deviation. Our feature selection strategy utilize feature recurrence across cross-validation runs to select robust features. Because of small sample size and class imbalance in our dataset, we randomly splitted samples into training samples and test samples while preserving class ratio (using the </w:t>
      </w:r>
      <w:r w:rsidDel="00000000" w:rsidR="00000000" w:rsidRPr="00000000">
        <w:rPr>
          <w:rFonts w:ascii="Times New Roman" w:cs="Times New Roman" w:eastAsia="Times New Roman" w:hAnsi="Times New Roman"/>
          <w:i w:val="1"/>
          <w:sz w:val="22"/>
          <w:szCs w:val="22"/>
          <w:rtl w:val="0"/>
        </w:rPr>
        <w:t xml:space="preserve">StratifiedShuffleSplit</w:t>
      </w:r>
      <w:r w:rsidDel="00000000" w:rsidR="00000000" w:rsidRPr="00000000">
        <w:rPr>
          <w:rFonts w:ascii="Times New Roman" w:cs="Times New Roman" w:eastAsia="Times New Roman" w:hAnsi="Times New Roman"/>
          <w:sz w:val="22"/>
          <w:szCs w:val="22"/>
          <w:rtl w:val="0"/>
        </w:rPr>
        <w:t xml:space="preserve"> class in the </w:t>
      </w:r>
      <w:r w:rsidDel="00000000" w:rsidR="00000000" w:rsidRPr="00000000">
        <w:rPr>
          <w:rFonts w:ascii="Times New Roman" w:cs="Times New Roman" w:eastAsia="Times New Roman" w:hAnsi="Times New Roman"/>
          <w:i w:val="1"/>
          <w:sz w:val="22"/>
          <w:szCs w:val="22"/>
          <w:rtl w:val="0"/>
        </w:rPr>
        <w:t xml:space="preserve">scikit-learn</w:t>
      </w:r>
      <w:r w:rsidDel="00000000" w:rsidR="00000000" w:rsidRPr="00000000">
        <w:rPr>
          <w:rFonts w:ascii="Times New Roman" w:cs="Times New Roman" w:eastAsia="Times New Roman" w:hAnsi="Times New Roman"/>
          <w:sz w:val="22"/>
          <w:szCs w:val="22"/>
          <w:rtl w:val="0"/>
        </w:rPr>
        <w:t xml:space="preserve"> Python package) during each cross-validation run. The overall cross-validation procedure was conducted in a nested manner: performance evaluation was performed in 50 outer cross-validation runs and optimization of hyper-parameters in a model was performed in 5 inner cross-validation runs. The outer cross-validation loop used the whole dataset while the inner cross-validation loop only used training dataset in the outer cross-validation loop. 10% of samples was set as test samples in inner cross-validation and outer cross-validation. AUROC on test samples across outer cross-validation runs were reported as model performance.</w:t>
      </w:r>
    </w:p>
    <w:p w:rsidR="00000000" w:rsidDel="00000000" w:rsidP="00000000" w:rsidRDefault="00000000" w:rsidRPr="00000000" w14:paraId="00000030">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Feature selection was performed only on training samples  in each outer cross-validation run. Hyper-parameter of models were optimized prior to feature selection on training samples. Hyper-parameters were search in a predefined parameter grid. For Logistic regression, we search regularization weight (parameter C in sklearn.linear_model.LogisticRegression) between [1e-5 and 1e5], incremented by 10 fold in each step. For random forest, we search number of decision trees (</w:t>
      </w:r>
      <w:r w:rsidDel="00000000" w:rsidR="00000000" w:rsidRPr="00000000">
        <w:rPr>
          <w:rFonts w:ascii="Times New Roman" w:cs="Times New Roman" w:eastAsia="Times New Roman" w:hAnsi="Times New Roman"/>
          <w:i w:val="1"/>
          <w:sz w:val="22"/>
          <w:szCs w:val="22"/>
          <w:rtl w:val="0"/>
        </w:rPr>
        <w:t xml:space="preserve">n_estimators</w:t>
      </w:r>
      <w:r w:rsidDel="00000000" w:rsidR="00000000" w:rsidRPr="00000000">
        <w:rPr>
          <w:rFonts w:ascii="Times New Roman" w:cs="Times New Roman" w:eastAsia="Times New Roman" w:hAnsi="Times New Roman"/>
          <w:sz w:val="22"/>
          <w:szCs w:val="22"/>
          <w:rtl w:val="0"/>
        </w:rPr>
        <w:t xml:space="preserve">) between [25, 75] with step size of 25 and maximum tree depth (</w:t>
      </w:r>
      <w:r w:rsidDel="00000000" w:rsidR="00000000" w:rsidRPr="00000000">
        <w:rPr>
          <w:rFonts w:ascii="Times New Roman" w:cs="Times New Roman" w:eastAsia="Times New Roman" w:hAnsi="Times New Roman"/>
          <w:i w:val="1"/>
          <w:sz w:val="22"/>
          <w:szCs w:val="22"/>
          <w:rtl w:val="0"/>
        </w:rPr>
        <w:t xml:space="preserve">max_depth</w:t>
      </w:r>
      <w:r w:rsidDel="00000000" w:rsidR="00000000" w:rsidRPr="00000000">
        <w:rPr>
          <w:rFonts w:ascii="Times New Roman" w:cs="Times New Roman" w:eastAsia="Times New Roman" w:hAnsi="Times New Roman"/>
          <w:sz w:val="22"/>
          <w:szCs w:val="22"/>
          <w:rtl w:val="0"/>
        </w:rPr>
        <w:t xml:space="preserve">) between [3, 5] with step size of 1. 5-fold cross-validation was used to evaluate model performance with AUROC as criterion for selecting optimal combination of hyper-parameters. </w:t>
      </w:r>
    </w:p>
    <w:p w:rsidR="00000000" w:rsidDel="00000000" w:rsidP="00000000" w:rsidRDefault="00000000" w:rsidRPr="00000000" w14:paraId="00000031">
      <w:pPr>
        <w:spacing w:line="48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Feature stability score</w:t>
      </w:r>
    </w:p>
    <w:p w:rsidR="00000000" w:rsidDel="00000000" w:rsidP="00000000" w:rsidRDefault="00000000" w:rsidRPr="00000000" w14:paraId="00000032">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 use average Kuncheva index to explicitly measure the stability of a feature selection method. The expression matrix, which contains </w:t>
      </w:r>
      <m:oMath>
        <m:r>
          <w:rPr>
            <w:rFonts w:ascii="Cambria Math" w:cs="Cambria Math" w:eastAsia="Cambria Math" w:hAnsi="Cambria Math"/>
            <w:sz w:val="22"/>
            <w:szCs w:val="22"/>
          </w:rPr>
          <m:t xml:space="preserve">n</m:t>
        </m:r>
      </m:oMath>
      <w:r w:rsidDel="00000000" w:rsidR="00000000" w:rsidRPr="00000000">
        <w:rPr>
          <w:rFonts w:ascii="Times New Roman" w:cs="Times New Roman" w:eastAsia="Times New Roman" w:hAnsi="Times New Roman"/>
          <w:sz w:val="22"/>
          <w:szCs w:val="22"/>
          <w:rtl w:val="0"/>
        </w:rPr>
        <w:t xml:space="preserve"> samples and </w:t>
      </w:r>
      <m:oMath>
        <m:r>
          <w:rPr>
            <w:rFonts w:ascii="Cambria Math" w:cs="Cambria Math" w:eastAsia="Cambria Math" w:hAnsi="Cambria Math"/>
            <w:sz w:val="22"/>
            <w:szCs w:val="22"/>
          </w:rPr>
          <m:t xml:space="preserve">N</m:t>
        </m:r>
      </m:oMath>
      <w:r w:rsidDel="00000000" w:rsidR="00000000" w:rsidRPr="00000000">
        <w:rPr>
          <w:rFonts w:ascii="Times New Roman" w:cs="Times New Roman" w:eastAsia="Times New Roman" w:hAnsi="Times New Roman"/>
          <w:sz w:val="22"/>
          <w:szCs w:val="22"/>
          <w:rtl w:val="0"/>
        </w:rPr>
        <w:t xml:space="preserve"> features, was resampled to generate a sample subset with a size of </w:t>
      </w:r>
      <m:oMath>
        <m:r>
          <w:rPr>
            <w:rFonts w:ascii="Cambria Math" w:cs="Cambria Math" w:eastAsia="Cambria Math" w:hAnsi="Cambria Math"/>
            <w:sz w:val="22"/>
            <w:szCs w:val="22"/>
          </w:rPr>
          <m:t xml:space="preserve">0.8n</m:t>
        </m:r>
      </m:oMath>
      <w:r w:rsidDel="00000000" w:rsidR="00000000" w:rsidRPr="00000000">
        <w:rPr>
          <w:rFonts w:ascii="Times New Roman" w:cs="Times New Roman" w:eastAsia="Times New Roman" w:hAnsi="Times New Roman"/>
          <w:sz w:val="22"/>
          <w:szCs w:val="22"/>
          <w:rtl w:val="0"/>
        </w:rPr>
        <w:t xml:space="preserve">. The given feature selection method was applied on such subset, and return a list of </w:t>
      </w:r>
      <m:oMath>
        <m:r>
          <w:rPr>
            <w:rFonts w:ascii="Cambria Math" w:cs="Cambria Math" w:eastAsia="Cambria Math" w:hAnsi="Cambria Math"/>
            <w:sz w:val="22"/>
            <w:szCs w:val="22"/>
          </w:rPr>
          <m:t xml:space="preserve">d</m:t>
        </m:r>
      </m:oMath>
      <w:r w:rsidDel="00000000" w:rsidR="00000000" w:rsidRPr="00000000">
        <w:rPr>
          <w:rFonts w:ascii="Times New Roman" w:cs="Times New Roman" w:eastAsia="Times New Roman" w:hAnsi="Times New Roman"/>
          <w:sz w:val="22"/>
          <w:szCs w:val="22"/>
          <w:rtl w:val="0"/>
        </w:rPr>
        <w:t xml:space="preserve"> features (which equals 10 in our method), denoted as </w:t>
      </w:r>
      <m:oMath>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f</m:t>
            </m:r>
          </m:e>
          <m:sub>
            <m:r>
              <w:rPr>
                <w:rFonts w:ascii="Cambria Math" w:cs="Cambria Math" w:eastAsia="Cambria Math" w:hAnsi="Cambria Math"/>
                <w:sz w:val="22"/>
                <w:szCs w:val="22"/>
              </w:rPr>
              <m:t xml:space="preserve">i</m:t>
            </m:r>
          </m:sub>
        </m:sSub>
      </m:oMath>
      <w:r w:rsidDel="00000000" w:rsidR="00000000" w:rsidRPr="00000000">
        <w:rPr>
          <w:rFonts w:ascii="Times New Roman" w:cs="Times New Roman" w:eastAsia="Times New Roman" w:hAnsi="Times New Roman"/>
          <w:sz w:val="22"/>
          <w:szCs w:val="22"/>
          <w:rtl w:val="0"/>
        </w:rPr>
        <w:t xml:space="preserve">. This process was repeated for 50 times. For two list of selected features, </w:t>
      </w:r>
      <m:oMath>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f</m:t>
            </m:r>
          </m:e>
          <m:sub>
            <m:r>
              <w:rPr>
                <w:rFonts w:ascii="Cambria Math" w:cs="Cambria Math" w:eastAsia="Cambria Math" w:hAnsi="Cambria Math"/>
                <w:sz w:val="22"/>
                <w:szCs w:val="22"/>
              </w:rPr>
              <m:t xml:space="preserve">i</m:t>
            </m:r>
          </m:sub>
        </m:sSub>
      </m:oMath>
      <w:r w:rsidDel="00000000" w:rsidR="00000000" w:rsidRPr="00000000">
        <w:rPr>
          <w:rFonts w:ascii="Times New Roman" w:cs="Times New Roman" w:eastAsia="Times New Roman" w:hAnsi="Times New Roman"/>
          <w:sz w:val="22"/>
          <w:szCs w:val="22"/>
          <w:rtl w:val="0"/>
        </w:rPr>
        <w:t xml:space="preserve"> and </w:t>
      </w:r>
      <m:oMath>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f</m:t>
            </m:r>
          </m:e>
          <m:sub>
            <m:r>
              <w:rPr>
                <w:rFonts w:ascii="Cambria Math" w:cs="Cambria Math" w:eastAsia="Cambria Math" w:hAnsi="Cambria Math"/>
                <w:sz w:val="22"/>
                <w:szCs w:val="22"/>
              </w:rPr>
              <m:t xml:space="preserve">j</m:t>
            </m:r>
          </m:sub>
        </m:sSub>
      </m:oMath>
      <w:r w:rsidDel="00000000" w:rsidR="00000000" w:rsidRPr="00000000">
        <w:rPr>
          <w:rFonts w:ascii="Times New Roman" w:cs="Times New Roman" w:eastAsia="Times New Roman" w:hAnsi="Times New Roman"/>
          <w:sz w:val="22"/>
          <w:szCs w:val="22"/>
          <w:rtl w:val="0"/>
        </w:rPr>
        <w:t xml:space="preserve">, Kuncheva index is defined as:</w:t>
      </w:r>
    </w:p>
    <w:p w:rsidR="00000000" w:rsidDel="00000000" w:rsidP="00000000" w:rsidRDefault="00000000" w:rsidRPr="00000000" w14:paraId="00000033">
      <w:pPr>
        <w:jc w:val="center"/>
        <w:rPr>
          <w:rFonts w:ascii="Cambria Math" w:cs="Cambria Math" w:eastAsia="Cambria Math" w:hAnsi="Cambria Math"/>
          <w:sz w:val="22"/>
          <w:szCs w:val="22"/>
        </w:rPr>
      </w:pPr>
      <m:oMath>
        <m:r>
          <w:rPr>
            <w:rFonts w:ascii="Cambria Math" w:cs="Cambria Math" w:eastAsia="Cambria Math" w:hAnsi="Cambria Math"/>
            <w:sz w:val="22"/>
            <w:szCs w:val="22"/>
          </w:rPr>
          <m:t xml:space="preserve">KI</m:t>
        </m:r>
        <m:d>
          <m:dPr>
            <m:begChr m:val="("/>
            <m:endChr m:val=")"/>
            <m:ctrlPr>
              <w:rPr>
                <w:rFonts w:ascii="Cambria Math" w:cs="Cambria Math" w:eastAsia="Cambria Math" w:hAnsi="Cambria Math"/>
                <w:sz w:val="22"/>
                <w:szCs w:val="22"/>
              </w:rPr>
            </m:ctrlPr>
          </m:dPr>
          <m:e>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f</m:t>
                </m:r>
              </m:e>
              <m:sub>
                <m:r>
                  <w:rPr>
                    <w:rFonts w:ascii="Cambria Math" w:cs="Cambria Math" w:eastAsia="Cambria Math" w:hAnsi="Cambria Math"/>
                    <w:sz w:val="22"/>
                    <w:szCs w:val="22"/>
                  </w:rPr>
                  <m:t xml:space="preserve">i</m:t>
                </m:r>
              </m:sub>
            </m:sSub>
            <m:r>
              <w:rPr>
                <w:rFonts w:ascii="Cambria Math" w:cs="Cambria Math" w:eastAsia="Cambria Math" w:hAnsi="Cambria Math"/>
                <w:sz w:val="22"/>
                <w:szCs w:val="22"/>
              </w:rPr>
              <m:t xml:space="preserve">,</m:t>
            </m:r>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f</m:t>
                </m:r>
              </m:e>
              <m:sub>
                <m:r>
                  <w:rPr>
                    <w:rFonts w:ascii="Cambria Math" w:cs="Cambria Math" w:eastAsia="Cambria Math" w:hAnsi="Cambria Math"/>
                    <w:sz w:val="22"/>
                    <w:szCs w:val="22"/>
                  </w:rPr>
                  <m:t xml:space="preserve">j</m:t>
                </m:r>
              </m:sub>
            </m:sSub>
          </m:e>
        </m:d>
        <m:r>
          <w:rPr>
            <w:rFonts w:ascii="Cambria Math" w:cs="Cambria Math" w:eastAsia="Cambria Math" w:hAnsi="Cambria Math"/>
            <w:sz w:val="22"/>
            <w:szCs w:val="22"/>
          </w:rPr>
          <m:t xml:space="preserve">=</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m:t>
            </m:r>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f</m:t>
                </m:r>
              </m:e>
              <m:sub>
                <m:r>
                  <w:rPr>
                    <w:rFonts w:ascii="Cambria Math" w:cs="Cambria Math" w:eastAsia="Cambria Math" w:hAnsi="Cambria Math"/>
                    <w:sz w:val="22"/>
                    <w:szCs w:val="22"/>
                  </w:rPr>
                  <m:t xml:space="preserve">i</m:t>
                </m:r>
              </m:sub>
            </m:sSub>
            <m:sSubSup>
              <m:sSubSupPr>
                <m:ctrlPr>
                  <w:rPr/>
                </m:ctrlPr>
              </m:sSubSupPr>
              <m:e>
                <m:r>
                  <w:rPr/>
                  <m:t xml:space="preserve">⋂</m:t>
                </m:r>
              </m:e>
              <m:sub/>
              <m:sup/>
            </m:sSubSup>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f</m:t>
                </m:r>
              </m:e>
              <m:sub>
                <m:r>
                  <w:rPr>
                    <w:rFonts w:ascii="Cambria Math" w:cs="Cambria Math" w:eastAsia="Cambria Math" w:hAnsi="Cambria Math"/>
                    <w:sz w:val="22"/>
                    <w:szCs w:val="22"/>
                  </w:rPr>
                  <m:t xml:space="preserve">j</m:t>
                </m:r>
              </m:sub>
            </m:sSub>
            <m:r>
              <w:rPr>
                <w:rFonts w:ascii="Cambria Math" w:cs="Cambria Math" w:eastAsia="Cambria Math" w:hAnsi="Cambria Math"/>
                <w:sz w:val="22"/>
                <w:szCs w:val="22"/>
              </w:rPr>
              <m:t xml:space="preserve">|N-</m:t>
            </m:r>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d</m:t>
                </m:r>
              </m:e>
              <m:sup>
                <m:r>
                  <w:rPr>
                    <w:rFonts w:ascii="Cambria Math" w:cs="Cambria Math" w:eastAsia="Cambria Math" w:hAnsi="Cambria Math"/>
                    <w:sz w:val="22"/>
                    <w:szCs w:val="22"/>
                  </w:rPr>
                  <m:t xml:space="preserve">2</m:t>
                </m:r>
              </m:sup>
            </m:sSup>
          </m:num>
          <m:den>
            <m:r>
              <w:rPr>
                <w:rFonts w:ascii="Cambria Math" w:cs="Cambria Math" w:eastAsia="Cambria Math" w:hAnsi="Cambria Math"/>
                <w:sz w:val="22"/>
                <w:szCs w:val="22"/>
              </w:rPr>
              <m:t xml:space="preserve">dN-</m:t>
            </m:r>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d</m:t>
                </m:r>
              </m:e>
              <m:sup>
                <m:r>
                  <w:rPr>
                    <w:rFonts w:ascii="Cambria Math" w:cs="Cambria Math" w:eastAsia="Cambria Math" w:hAnsi="Cambria Math"/>
                    <w:sz w:val="22"/>
                    <w:szCs w:val="22"/>
                  </w:rPr>
                  <m:t xml:space="preserve">2</m:t>
                </m:r>
              </m:sup>
            </m:sSup>
          </m:den>
        </m:f>
        <m:r>
          <w:rPr>
            <w:rFonts w:ascii="Cambria Math" w:cs="Cambria Math" w:eastAsia="Cambria Math" w:hAnsi="Cambria Math"/>
            <w:sz w:val="22"/>
            <w:szCs w:val="22"/>
          </w:rPr>
          <m:t xml:space="preserve">=</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m:t>
            </m:r>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f</m:t>
                </m:r>
              </m:e>
              <m:sub>
                <m:r>
                  <w:rPr>
                    <w:rFonts w:ascii="Cambria Math" w:cs="Cambria Math" w:eastAsia="Cambria Math" w:hAnsi="Cambria Math"/>
                    <w:sz w:val="22"/>
                    <w:szCs w:val="22"/>
                  </w:rPr>
                  <m:t xml:space="preserve">i</m:t>
                </m:r>
              </m:sub>
            </m:sSub>
            <m:sSubSup>
              <m:sSubSupPr>
                <m:ctrlPr>
                  <w:rPr/>
                </m:ctrlPr>
              </m:sSubSupPr>
              <m:e>
                <m:r>
                  <w:rPr/>
                  <m:t xml:space="preserve">⋂</m:t>
                </m:r>
              </m:e>
              <m:sub/>
              <m:sup/>
            </m:sSubSup>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f</m:t>
                </m:r>
              </m:e>
              <m:sub>
                <m:r>
                  <w:rPr>
                    <w:rFonts w:ascii="Cambria Math" w:cs="Cambria Math" w:eastAsia="Cambria Math" w:hAnsi="Cambria Math"/>
                    <w:sz w:val="22"/>
                    <w:szCs w:val="22"/>
                  </w:rPr>
                  <m:t xml:space="preserve">j</m:t>
                </m:r>
              </m:sub>
            </m:sSub>
            <m:r>
              <w:rPr>
                <w:rFonts w:ascii="Cambria Math" w:cs="Cambria Math" w:eastAsia="Cambria Math" w:hAnsi="Cambria Math"/>
                <w:sz w:val="22"/>
                <w:szCs w:val="22"/>
              </w:rPr>
              <m:t xml:space="preserve">|-</m:t>
            </m:r>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d</m:t>
                </m:r>
              </m:e>
              <m:sup>
                <m:r>
                  <w:rPr>
                    <w:rFonts w:ascii="Cambria Math" w:cs="Cambria Math" w:eastAsia="Cambria Math" w:hAnsi="Cambria Math"/>
                    <w:sz w:val="22"/>
                    <w:szCs w:val="22"/>
                  </w:rPr>
                  <m:t xml:space="preserve">2</m:t>
                </m:r>
              </m:sup>
            </m:sSup>
            <m:r>
              <w:rPr>
                <w:rFonts w:ascii="Cambria Math" w:cs="Cambria Math" w:eastAsia="Cambria Math" w:hAnsi="Cambria Math"/>
                <w:sz w:val="22"/>
                <w:szCs w:val="22"/>
              </w:rPr>
              <m:t xml:space="preserve">/N</m:t>
            </m:r>
          </m:num>
          <m:den>
            <m:r>
              <w:rPr>
                <w:rFonts w:ascii="Cambria Math" w:cs="Cambria Math" w:eastAsia="Cambria Math" w:hAnsi="Cambria Math"/>
                <w:sz w:val="22"/>
                <w:szCs w:val="22"/>
              </w:rPr>
              <m:t xml:space="preserve">d-</m:t>
            </m:r>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d</m:t>
                </m:r>
              </m:e>
              <m:sup>
                <m:r>
                  <w:rPr>
                    <w:rFonts w:ascii="Cambria Math" w:cs="Cambria Math" w:eastAsia="Cambria Math" w:hAnsi="Cambria Math"/>
                    <w:sz w:val="22"/>
                    <w:szCs w:val="22"/>
                  </w:rPr>
                  <m:t xml:space="preserve">2</m:t>
                </m:r>
              </m:sup>
            </m:sSup>
            <m:r>
              <w:rPr>
                <w:rFonts w:ascii="Cambria Math" w:cs="Cambria Math" w:eastAsia="Cambria Math" w:hAnsi="Cambria Math"/>
                <w:sz w:val="22"/>
                <w:szCs w:val="22"/>
              </w:rPr>
              <m:t xml:space="preserve">/N</m:t>
            </m:r>
          </m:den>
        </m:f>
      </m:oMath>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w:t>
      </w:r>
      <m:oMath>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d</m:t>
            </m:r>
          </m:e>
          <m:sup>
            <m:r>
              <w:rPr>
                <w:rFonts w:ascii="Cambria Math" w:cs="Cambria Math" w:eastAsia="Cambria Math" w:hAnsi="Cambria Math"/>
                <w:sz w:val="22"/>
                <w:szCs w:val="22"/>
              </w:rPr>
              <m:t xml:space="preserve">2</m:t>
            </m:r>
          </m:sup>
        </m:sSup>
      </m:oMath>
      <w:r w:rsidDel="00000000" w:rsidR="00000000" w:rsidRPr="00000000">
        <w:rPr>
          <w:rFonts w:ascii="Times New Roman" w:cs="Times New Roman" w:eastAsia="Times New Roman" w:hAnsi="Times New Roman"/>
          <w:sz w:val="22"/>
          <w:szCs w:val="22"/>
          <w:rtl w:val="0"/>
        </w:rPr>
        <w:t xml:space="preserve"> term is an adjustment for the possibility of occasionally selecting the same features when features are merely randomly chosen. For</w:t>
      </w:r>
      <m:oMath>
        <m:r>
          <w:rPr>
            <w:rFonts w:ascii="Cambria Math" w:cs="Cambria Math" w:eastAsia="Cambria Math" w:hAnsi="Cambria Math"/>
            <w:sz w:val="22"/>
            <w:szCs w:val="22"/>
          </w:rPr>
          <m:t xml:space="preserve"> M</m:t>
        </m:r>
      </m:oMath>
      <w:r w:rsidDel="00000000" w:rsidR="00000000" w:rsidRPr="00000000">
        <w:rPr>
          <w:rFonts w:ascii="Times New Roman" w:cs="Times New Roman" w:eastAsia="Times New Roman" w:hAnsi="Times New Roman"/>
          <w:sz w:val="22"/>
          <w:szCs w:val="22"/>
          <w:rtl w:val="0"/>
        </w:rPr>
        <w:t xml:space="preserve"> epochs of feature selection, the average Kuncheva index is:</w:t>
      </w:r>
    </w:p>
    <w:p w:rsidR="00000000" w:rsidDel="00000000" w:rsidP="00000000" w:rsidRDefault="00000000" w:rsidRPr="00000000" w14:paraId="00000035">
      <w:pPr>
        <w:jc w:val="center"/>
        <w:rPr>
          <w:rFonts w:ascii="Cambria Math" w:cs="Cambria Math" w:eastAsia="Cambria Math" w:hAnsi="Cambria Math"/>
          <w:sz w:val="22"/>
          <w:szCs w:val="22"/>
        </w:rPr>
      </w:pPr>
      <m:oMath>
        <m:r>
          <w:rPr>
            <w:rFonts w:ascii="Cambria Math" w:cs="Cambria Math" w:eastAsia="Cambria Math" w:hAnsi="Cambria Math"/>
            <w:sz w:val="22"/>
            <w:szCs w:val="22"/>
          </w:rPr>
          <m:t xml:space="preserve">AKI=</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2</m:t>
            </m:r>
          </m:num>
          <m:den>
            <m:r>
              <w:rPr>
                <w:rFonts w:ascii="Cambria Math" w:cs="Cambria Math" w:eastAsia="Cambria Math" w:hAnsi="Cambria Math"/>
                <w:sz w:val="22"/>
                <w:szCs w:val="22"/>
              </w:rPr>
              <m:t xml:space="preserve">M(M-1)</m:t>
            </m:r>
          </m:den>
        </m:f>
        <m:nary>
          <m:naryPr>
            <m:chr m:val="∑"/>
            <m:ctrlPr>
              <w:rPr>
                <w:rFonts w:ascii="Cambria Math" w:cs="Cambria Math" w:eastAsia="Cambria Math" w:hAnsi="Cambria Math"/>
                <w:sz w:val="22"/>
                <w:szCs w:val="22"/>
              </w:rPr>
            </m:ctrlPr>
          </m:naryPr>
          <m:sub>
            <m:r>
              <w:rPr>
                <w:rFonts w:ascii="Cambria Math" w:cs="Cambria Math" w:eastAsia="Cambria Math" w:hAnsi="Cambria Math"/>
                <w:sz w:val="22"/>
                <w:szCs w:val="22"/>
              </w:rPr>
              <m:t xml:space="preserve">i=1</m:t>
            </m:r>
          </m:sub>
          <m:sup>
            <m:r>
              <w:rPr>
                <w:rFonts w:ascii="Cambria Math" w:cs="Cambria Math" w:eastAsia="Cambria Math" w:hAnsi="Cambria Math"/>
                <w:sz w:val="22"/>
                <w:szCs w:val="22"/>
              </w:rPr>
              <m:t xml:space="preserve">M</m:t>
            </m:r>
          </m:sup>
        </m:nary>
        <m:nary>
          <m:naryPr>
            <m:chr m:val="∑"/>
            <m:ctrlPr>
              <w:rPr>
                <w:rFonts w:ascii="Cambria Math" w:cs="Cambria Math" w:eastAsia="Cambria Math" w:hAnsi="Cambria Math"/>
                <w:sz w:val="22"/>
                <w:szCs w:val="22"/>
              </w:rPr>
            </m:ctrlPr>
          </m:naryPr>
          <m:sub>
            <m:r>
              <w:rPr>
                <w:rFonts w:ascii="Cambria Math" w:cs="Cambria Math" w:eastAsia="Cambria Math" w:hAnsi="Cambria Math"/>
                <w:sz w:val="22"/>
                <w:szCs w:val="22"/>
              </w:rPr>
              <m:t xml:space="preserve">j=i+1</m:t>
            </m:r>
          </m:sub>
          <m:sup>
            <m:r>
              <w:rPr>
                <w:rFonts w:ascii="Cambria Math" w:cs="Cambria Math" w:eastAsia="Cambria Math" w:hAnsi="Cambria Math"/>
                <w:sz w:val="22"/>
                <w:szCs w:val="22"/>
              </w:rPr>
              <m:t xml:space="preserve">M</m:t>
            </m:r>
          </m:sup>
        </m:nary>
        <m:r>
          <w:rPr>
            <w:rFonts w:ascii="Cambria Math" w:cs="Cambria Math" w:eastAsia="Cambria Math" w:hAnsi="Cambria Math"/>
            <w:sz w:val="22"/>
            <w:szCs w:val="22"/>
          </w:rPr>
          <m:t xml:space="preserve">KI</m:t>
        </m:r>
        <m:d>
          <m:dPr>
            <m:begChr m:val="("/>
            <m:endChr m:val=")"/>
            <m:ctrlPr>
              <w:rPr>
                <w:rFonts w:ascii="Cambria Math" w:cs="Cambria Math" w:eastAsia="Cambria Math" w:hAnsi="Cambria Math"/>
                <w:sz w:val="22"/>
                <w:szCs w:val="22"/>
              </w:rPr>
            </m:ctrlPr>
          </m:dPr>
          <m:e>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f</m:t>
                </m:r>
              </m:e>
              <m:sub>
                <m:r>
                  <w:rPr>
                    <w:rFonts w:ascii="Cambria Math" w:cs="Cambria Math" w:eastAsia="Cambria Math" w:hAnsi="Cambria Math"/>
                    <w:sz w:val="22"/>
                    <w:szCs w:val="22"/>
                  </w:rPr>
                  <m:t xml:space="preserve">i</m:t>
                </m:r>
              </m:sub>
            </m:sSub>
            <m:r>
              <w:rPr>
                <w:rFonts w:ascii="Cambria Math" w:cs="Cambria Math" w:eastAsia="Cambria Math" w:hAnsi="Cambria Math"/>
                <w:sz w:val="22"/>
                <w:szCs w:val="22"/>
              </w:rPr>
              <m:t xml:space="preserve">,</m:t>
            </m:r>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f</m:t>
                </m:r>
              </m:e>
              <m:sub>
                <m:r>
                  <w:rPr>
                    <w:rFonts w:ascii="Cambria Math" w:cs="Cambria Math" w:eastAsia="Cambria Math" w:hAnsi="Cambria Math"/>
                    <w:sz w:val="22"/>
                    <w:szCs w:val="22"/>
                  </w:rPr>
                  <m:t xml:space="preserve">j</m:t>
                </m:r>
              </m:sub>
            </m:sSub>
          </m:e>
        </m:d>
      </m:oMath>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When </w:t>
      </w:r>
      <m:oMath>
        <m:r>
          <w:rPr>
            <w:rFonts w:ascii="Cambria Math" w:cs="Cambria Math" w:eastAsia="Cambria Math" w:hAnsi="Cambria Math"/>
            <w:sz w:val="22"/>
            <w:szCs w:val="22"/>
          </w:rPr>
          <m:t xml:space="preserve">M</m:t>
        </m:r>
      </m:oMath>
      <w:r w:rsidDel="00000000" w:rsidR="00000000" w:rsidRPr="00000000">
        <w:rPr>
          <w:rFonts w:ascii="Times New Roman" w:cs="Times New Roman" w:eastAsia="Times New Roman" w:hAnsi="Times New Roman"/>
          <w:sz w:val="22"/>
          <w:szCs w:val="22"/>
          <w:rtl w:val="0"/>
        </w:rPr>
        <w:t xml:space="preserve"> is sufficiently large, totally random selection will lead to a </w:t>
      </w:r>
      <m:oMath>
        <m:r>
          <w:rPr>
            <w:rFonts w:ascii="Cambria Math" w:cs="Cambria Math" w:eastAsia="Cambria Math" w:hAnsi="Cambria Math"/>
            <w:sz w:val="22"/>
            <w:szCs w:val="22"/>
          </w:rPr>
          <m:t xml:space="preserve">AKI</m:t>
        </m:r>
      </m:oMath>
      <w:r w:rsidDel="00000000" w:rsidR="00000000" w:rsidRPr="00000000">
        <w:rPr>
          <w:rFonts w:ascii="Times New Roman" w:cs="Times New Roman" w:eastAsia="Times New Roman" w:hAnsi="Times New Roman"/>
          <w:sz w:val="22"/>
          <w:szCs w:val="22"/>
          <w:rtl w:val="0"/>
        </w:rPr>
        <w:t xml:space="preserve"> roughly equal to zero. If a fixed set of features are always chosen, </w:t>
      </w:r>
      <m:oMath>
        <m:r>
          <w:rPr>
            <w:rFonts w:ascii="Cambria Math" w:cs="Cambria Math" w:eastAsia="Cambria Math" w:hAnsi="Cambria Math"/>
            <w:sz w:val="22"/>
            <w:szCs w:val="22"/>
          </w:rPr>
          <m:t xml:space="preserve">AKI</m:t>
        </m:r>
      </m:oMath>
      <w:r w:rsidDel="00000000" w:rsidR="00000000" w:rsidRPr="00000000">
        <w:rPr>
          <w:rFonts w:ascii="Times New Roman" w:cs="Times New Roman" w:eastAsia="Times New Roman" w:hAnsi="Times New Roman"/>
          <w:sz w:val="22"/>
          <w:szCs w:val="22"/>
          <w:rtl w:val="0"/>
        </w:rPr>
        <w:t xml:space="preserve"> equals to one.</w:t>
      </w:r>
    </w:p>
    <w:p w:rsidR="00000000" w:rsidDel="00000000" w:rsidP="00000000" w:rsidRDefault="00000000" w:rsidRPr="00000000" w14:paraId="00000037">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When evaluating a feature selection model, we fix selected feature numbers to 10 and calculate </w:t>
      </w:r>
      <m:oMath>
        <m:r>
          <w:rPr>
            <w:rFonts w:ascii="Cambria Math" w:cs="Cambria Math" w:eastAsia="Cambria Math" w:hAnsi="Cambria Math"/>
            <w:sz w:val="22"/>
            <w:szCs w:val="22"/>
          </w:rPr>
          <m:t xml:space="preserve">AKI</m:t>
        </m:r>
      </m:oMath>
      <w:r w:rsidDel="00000000" w:rsidR="00000000" w:rsidRPr="00000000">
        <w:rPr>
          <w:rFonts w:ascii="Times New Roman" w:cs="Times New Roman" w:eastAsia="Times New Roman" w:hAnsi="Times New Roman"/>
          <w:sz w:val="22"/>
          <w:szCs w:val="22"/>
          <w:rtl w:val="0"/>
        </w:rPr>
        <w:t xml:space="preserve"> of each model to quantify its feature selection stability.</w:t>
      </w:r>
    </w:p>
    <w:p w:rsidR="00000000" w:rsidDel="00000000" w:rsidP="00000000" w:rsidRDefault="00000000" w:rsidRPr="00000000" w14:paraId="00000038">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39">
      <w:pPr>
        <w:spacing w:line="48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Software availability</w:t>
      </w:r>
    </w:p>
    <w:p w:rsidR="00000000" w:rsidDel="00000000" w:rsidP="00000000" w:rsidRDefault="00000000" w:rsidRPr="00000000" w14:paraId="0000003A">
      <w:pPr>
        <w:spacing w:line="480" w:lineRule="auto"/>
        <w:rPr>
          <w:rFonts w:ascii="Times New Roman" w:cs="Times New Roman" w:eastAsia="Times New Roman" w:hAnsi="Times New Roman"/>
          <w:sz w:val="22"/>
          <w:szCs w:val="22"/>
        </w:rPr>
      </w:pPr>
      <w:bookmarkStart w:colFirst="0" w:colLast="0" w:name="_gjdgxs" w:id="0"/>
      <w:bookmarkEnd w:id="0"/>
      <w:r w:rsidDel="00000000" w:rsidR="00000000" w:rsidRPr="00000000">
        <w:rPr>
          <w:rFonts w:ascii="Times New Roman" w:cs="Times New Roman" w:eastAsia="Times New Roman" w:hAnsi="Times New Roman"/>
          <w:sz w:val="22"/>
          <w:szCs w:val="22"/>
          <w:rtl w:val="0"/>
        </w:rPr>
        <w:t xml:space="preserve">An open-source software implementation of exSeek is available on Github (</w:t>
      </w:r>
      <w:hyperlink r:id="rId10">
        <w:r w:rsidDel="00000000" w:rsidR="00000000" w:rsidRPr="00000000">
          <w:rPr>
            <w:rFonts w:ascii="Times New Roman" w:cs="Times New Roman" w:eastAsia="Times New Roman" w:hAnsi="Times New Roman"/>
            <w:color w:val="000000"/>
            <w:sz w:val="22"/>
            <w:szCs w:val="22"/>
            <w:u w:val="none"/>
            <w:rtl w:val="0"/>
          </w:rPr>
          <w:t xml:space="preserve">https://github.com/lulab/exS</w:t>
        </w:r>
      </w:hyperlink>
      <w:r w:rsidDel="00000000" w:rsidR="00000000" w:rsidRPr="00000000">
        <w:rPr>
          <w:rFonts w:ascii="Times New Roman" w:cs="Times New Roman" w:eastAsia="Times New Roman" w:hAnsi="Times New Roman"/>
          <w:sz w:val="22"/>
          <w:szCs w:val="22"/>
          <w:rtl w:val="0"/>
        </w:rPr>
        <w:t xml:space="preserve">EEK). The  python jupyter notebook example (</w:t>
      </w:r>
      <w:hyperlink r:id="rId11">
        <w:r w:rsidDel="00000000" w:rsidR="00000000" w:rsidRPr="00000000">
          <w:rPr>
            <w:rFonts w:ascii="Times New Roman" w:cs="Times New Roman" w:eastAsia="Times New Roman" w:hAnsi="Times New Roman"/>
            <w:color w:val="000000"/>
            <w:sz w:val="22"/>
            <w:szCs w:val="22"/>
            <w:u w:val="none"/>
            <w:rtl w:val="0"/>
          </w:rPr>
          <w:t xml:space="preserve">https://github.com/lulab/exSeek/blob/master/notebooks/plot_python-scirep.ipynb</w:t>
        </w:r>
      </w:hyperlink>
      <w:r w:rsidDel="00000000" w:rsidR="00000000" w:rsidRPr="00000000">
        <w:rPr>
          <w:rFonts w:ascii="Times New Roman" w:cs="Times New Roman" w:eastAsia="Times New Roman" w:hAnsi="Times New Roman"/>
          <w:sz w:val="22"/>
          <w:szCs w:val="22"/>
          <w:rtl w:val="0"/>
        </w:rPr>
        <w:t xml:space="preserve">) is used to interactively visualize results produced by each module of exSeek in publication level. The documentation of software is available on </w:t>
      </w:r>
      <w:hyperlink r:id="rId12">
        <w:r w:rsidDel="00000000" w:rsidR="00000000" w:rsidRPr="00000000">
          <w:rPr>
            <w:rFonts w:ascii="Times New Roman" w:cs="Times New Roman" w:eastAsia="Times New Roman" w:hAnsi="Times New Roman"/>
            <w:color w:val="1155cc"/>
            <w:sz w:val="22"/>
            <w:szCs w:val="22"/>
            <w:u w:val="single"/>
            <w:rtl w:val="0"/>
          </w:rPr>
          <w:t xml:space="preserve">https://exseek.gitbook.io/docs/</w:t>
        </w:r>
      </w:hyperlink>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3B">
      <w:pPr>
        <w:spacing w:line="480" w:lineRule="auto"/>
        <w:rPr>
          <w:rFonts w:ascii="Times New Roman" w:cs="Times New Roman" w:eastAsia="Times New Roman" w:hAnsi="Times New Roman"/>
          <w:sz w:val="22"/>
          <w:szCs w:val="22"/>
        </w:rPr>
      </w:pPr>
      <w:r w:rsidDel="00000000" w:rsidR="00000000" w:rsidRPr="00000000">
        <w:rPr>
          <w:rtl w:val="0"/>
        </w:rPr>
      </w:r>
    </w:p>
    <w:sectPr>
      <w:pgSz w:h="16840" w:w="11900"/>
      <w:pgMar w:bottom="1440" w:top="1440" w:left="1440" w:right="1440" w:header="851" w:footer="992"/>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谢宇锋" w:id="0" w:date="2019-04-12T05:04:50Z">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RLE表述再精致</w:t>
      </w:r>
    </w:p>
  </w:comment>
  <w:comment w:author="谢宇锋" w:id="1" w:date="2019-04-12T05:15:44Z">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do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Arial Unicode M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github.com/lulab/exSeek/blob/master/notebooks/plot_python-scirep.ipynb" TargetMode="External"/><Relationship Id="rId10" Type="http://schemas.openxmlformats.org/officeDocument/2006/relationships/hyperlink" Target="https://github.com/lulab/exSeek" TargetMode="External"/><Relationship Id="rId12" Type="http://schemas.openxmlformats.org/officeDocument/2006/relationships/hyperlink" Target="https://exseek.gitbook.io/docs/" TargetMode="External"/><Relationship Id="rId9" Type="http://schemas.openxmlformats.org/officeDocument/2006/relationships/hyperlink" Target="http://lulab.life.tsinghua.edu.cn/postar2/"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rohsdb.cmb.usc.edu/GBshape/cgi-bin/hgTrackUi?db=hg19&amp;g=wgEncodeBroadHmm" TargetMode="External"/><Relationship Id="rId8" Type="http://schemas.openxmlformats.org/officeDocument/2006/relationships/hyperlink" Target="http://exorbase.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