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SECOND GOAPPLE PREVIEW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JAMES QUINTERO MOSQUERA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GIORGI JULIÁN ORDOÑEZ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ING. ROBINSON GOMEZ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CORE TECHNOLOGIES: HTML, CSS, JAVASCRIPT, PHP AND MYSQL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MODALITY: GROUP DEVELOPMENT</w:t>
      </w:r>
    </w:p>
    <w:p w:rsidR="00000000" w:rsidDel="00000000" w:rsidP="00000000" w:rsidRDefault="00000000" w:rsidRPr="00000000" w14:paraId="0000001C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FOUNDATION FOR HIGHER EDUCATION FESC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CLIENT-SERVER ARCHITECTURE </w:t>
      </w:r>
    </w:p>
    <w:p w:rsidR="00000000" w:rsidDel="00000000" w:rsidP="00000000" w:rsidRDefault="00000000" w:rsidRPr="00000000" w14:paraId="00000023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SAN JOSE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CUCUTA</w:t>
      </w:r>
    </w:p>
    <w:p w:rsidR="00000000" w:rsidDel="00000000" w:rsidP="00000000" w:rsidRDefault="00000000" w:rsidRPr="00000000" w14:paraId="00000024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MARCH 9,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SPANISH VERSION</w:t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PRACTICAL GUIDE #5: REMOTE OBJECT INTEGRATION AND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ACTIVITY 1: DEFINITION OF INTERFACES AND SERIALIZABLE CLASSES</w:t>
      </w:r>
    </w:p>
    <w:p w:rsidR="00000000" w:rsidDel="00000000" w:rsidP="00000000" w:rsidRDefault="00000000" w:rsidRPr="00000000" w14:paraId="0000002A">
      <w:pPr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Within the GOAPPLE project, the Product class was defined as the exchange object, since the system is oriented towards the management of technological products.</w:t>
      </w:r>
    </w:p>
    <w:p w:rsidR="00000000" w:rsidDel="00000000" w:rsidP="00000000" w:rsidRDefault="00000000" w:rsidRPr="00000000" w14:paraId="0000002B">
      <w:pPr>
        <w:spacing w:after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Product Class (Serializable)</w:t>
      </w:r>
    </w:p>
    <w:p w:rsidR="00000000" w:rsidDel="00000000" w:rsidP="00000000" w:rsidRDefault="00000000" w:rsidRPr="00000000" w14:paraId="0000002C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class must exist exactly the same on both the client and the server to ensure the correct marshaling process.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ACTIVITY 2: IMPLEMENTATION OF THE STUB (MARSHALING)</w:t>
      </w:r>
    </w:p>
    <w:p w:rsidR="00000000" w:rsidDel="00000000" w:rsidP="00000000" w:rsidRDefault="00000000" w:rsidRPr="00000000" w14:paraId="00000030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StubClient class was implemented to encapsulate the sending of the Product object to the server.</w:t>
      </w:r>
    </w:p>
    <w:p w:rsidR="00000000" w:rsidDel="00000000" w:rsidP="00000000" w:rsidRDefault="00000000" w:rsidRPr="00000000" w14:paraId="00000031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Customer Core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Here, the client only invokes a local method. The stub handles the serialization and socket transmission process.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ACTIVITY 3: RECONSTRUCTION OF THE OBJECT ON THE SERVER (UNMARSHALING)</w:t>
      </w:r>
    </w:p>
    <w:p w:rsidR="00000000" w:rsidDel="00000000" w:rsidP="00000000" w:rsidRDefault="00000000" w:rsidRPr="00000000" w14:paraId="00000037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server receives the byte stream and reconstructs the Product object.</w:t>
      </w:r>
    </w:p>
    <w:p w:rsidR="00000000" w:rsidDel="00000000" w:rsidP="00000000" w:rsidRDefault="00000000" w:rsidRPr="00000000" w14:paraId="00000038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validates that the reconstructed object maintains exactly the same data sent from the client.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CONCLUSIONS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Serialization allows the transfer of complete objects between distributed processes.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Stubs improve system transparency by hiding the complexity of sockets.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marshaling and unmarshaling processes were found to preserve object state.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implementation provides a foundation for building more complex remote services in Google Apple.</w:t>
      </w:r>
    </w:p>
    <w:p w:rsidR="00000000" w:rsidDel="00000000" w:rsidP="00000000" w:rsidRDefault="00000000" w:rsidRPr="00000000" w14:paraId="00000040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2529"/>
          <w:sz w:val="24"/>
          <w:szCs w:val="24"/>
          <w:rtl w:val="0"/>
        </w:rPr>
        <w:t xml:space="preserve">PRACTICAL GUIDE #6 IMPLEMENTATION OF THE NAMING AND REGISTRATION SYSTEM</w:t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ACTIVITY 1: CONFIGURATION OF THE DIRECTORY SERVICE (REGISTRY)</w:t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Program a standalone module on the server to function as a lookup table.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 a data structure (e.g., an associative array or a lightweight database) where the "Service Name" is stored, linked to its "Network Address" (IP and Port) or the corresponding serialized object.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Key concept: The Registry must be able to process Bind and Lookup requests.</w:t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ACTIVITY 2: SERVICE REGISTRATION PROTOCOL</w:t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Modify the server side so that, upon startup, the remote object is automatically advertised to the Registry.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 availability validation: if the service already exists with that name, the Registry must manage the reference update to ensure interoperability.</w:t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ACTIVITY 3: DYNAMIC SEARCH FROM THE CLIENT (NAMING SYSTEMS)</w:t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Remove hardcoded IPs from the client code.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Program the client to first query the Registry by sending the logical service name. desired.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the Registry response to transparently establish the final connection to the remote object.</w:t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EVIDENCE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left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QdHPkna0jCnZF/5JK9ztrFNGSg==">CgMxLjA4AHIhMVJFUVRpbU50dHl6eG45dHlUM3ZaWUZSMHVTNHdfTVFI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