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color w:val="212529"/>
          <w:rtl w:val="0"/>
        </w:rPr>
        <w:t xml:space="preserve">GUÍA PRÁCTICA N°. 4: ESPECIFICACIÓN DE ATRIBUTOS DE CALIDAD Y MÉTRICAS PARA GOAPPLE</w:t>
      </w:r>
      <w:r w:rsidDel="00000000" w:rsidR="00000000" w:rsidRPr="00000000">
        <w:rPr>
          <w:rtl w:val="0"/>
        </w:rPr>
        <w:br w:type="textWrapping"/>
      </w:r>
      <w:r w:rsidDel="00000000" w:rsidR="00000000" w:rsidRPr="00000000">
        <w:rPr>
          <w:rFonts w:ascii="Arial" w:cs="Arial" w:eastAsia="Arial" w:hAnsi="Arial"/>
          <w:rtl w:val="0"/>
        </w:rPr>
        <w:t xml:space="preserve"> </w:t>
      </w: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spacing w:after="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JAMES QUINTERO MOSQUERA</w:t>
      </w:r>
    </w:p>
    <w:p w:rsidR="00000000" w:rsidDel="00000000" w:rsidP="00000000" w:rsidRDefault="00000000" w:rsidRPr="00000000" w14:paraId="00000003">
      <w:pPr>
        <w:spacing w:after="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color w:val="000000"/>
          <w:rtl w:val="0"/>
        </w:rPr>
        <w:t xml:space="preserve">GIORGI </w:t>
      </w:r>
      <w:r w:rsidDel="00000000" w:rsidR="00000000" w:rsidRPr="00000000">
        <w:rPr>
          <w:rFonts w:ascii="Arial" w:cs="Arial" w:eastAsia="Arial" w:hAnsi="Arial"/>
          <w:rtl w:val="0"/>
        </w:rPr>
        <w:t xml:space="preserve">JULIÁN</w:t>
      </w:r>
      <w:r w:rsidDel="00000000" w:rsidR="00000000" w:rsidRPr="00000000">
        <w:rPr>
          <w:rFonts w:ascii="Arial" w:cs="Arial" w:eastAsia="Arial" w:hAnsi="Arial"/>
          <w:color w:val="000000"/>
          <w:rtl w:val="0"/>
        </w:rPr>
        <w:t xml:space="preserve"> ORDOÑEZ</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Arial" w:cs="Arial" w:eastAsia="Arial" w:hAnsi="Arial"/>
          <w:color w:val="000000"/>
          <w:rtl w:val="0"/>
        </w:rPr>
        <w:t xml:space="preserve">ING. ROBINSON GOMEZ</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Fonts w:ascii="Arial" w:cs="Arial" w:eastAsia="Arial" w:hAnsi="Arial"/>
          <w:color w:val="000000"/>
          <w:rtl w:val="0"/>
        </w:rPr>
        <w:t xml:space="preserve">FUNDACIÓN DE ESTUDIOS SUPERIORES FESC</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after="240" w:lineRule="auto"/>
        <w:jc w:val="center"/>
        <w:rPr/>
      </w:pPr>
      <w:r w:rsidDel="00000000" w:rsidR="00000000" w:rsidRPr="00000000">
        <w:rPr>
          <w:rFonts w:ascii="Arial" w:cs="Arial" w:eastAsia="Arial" w:hAnsi="Arial"/>
          <w:color w:val="212529"/>
          <w:rtl w:val="0"/>
        </w:rPr>
        <w:t xml:space="preserve">ARQUITECTURA Y DISEÑO DE SOFTWARE</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Fonts w:ascii="Arial" w:cs="Arial" w:eastAsia="Arial" w:hAnsi="Arial"/>
          <w:color w:val="000000"/>
          <w:rtl w:val="0"/>
        </w:rPr>
        <w:t xml:space="preserve">SAN JOSE DE CUCUTA</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240" w:line="240" w:lineRule="auto"/>
        <w:jc w:val="center"/>
        <w:rPr>
          <w:rFonts w:ascii="Arial" w:cs="Arial" w:eastAsia="Arial" w:hAnsi="Arial"/>
          <w:color w:val="000000"/>
        </w:rPr>
      </w:pPr>
      <w:r w:rsidDel="00000000" w:rsidR="00000000" w:rsidRPr="00000000">
        <w:rPr>
          <w:rFonts w:ascii="Arial" w:cs="Arial" w:eastAsia="Arial" w:hAnsi="Arial"/>
          <w:rtl w:val="0"/>
        </w:rPr>
        <w:t xml:space="preserve">02</w:t>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rtl w:val="0"/>
        </w:rPr>
        <w:t xml:space="preserve">MARZO</w:t>
      </w:r>
      <w:r w:rsidDel="00000000" w:rsidR="00000000" w:rsidRPr="00000000">
        <w:rPr>
          <w:rFonts w:ascii="Arial" w:cs="Arial" w:eastAsia="Arial" w:hAnsi="Arial"/>
          <w:color w:val="000000"/>
          <w:rtl w:val="0"/>
        </w:rPr>
        <w:t xml:space="preserve"> DE 2026</w:t>
      </w:r>
    </w:p>
    <w:p w:rsidR="00000000" w:rsidDel="00000000" w:rsidP="00000000" w:rsidRDefault="00000000" w:rsidRPr="00000000" w14:paraId="00000018">
      <w:pPr>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1: Matriz de Atributos de Calidad</w:t>
      </w:r>
    </w:p>
    <w:p w:rsidR="00000000" w:rsidDel="00000000" w:rsidP="00000000" w:rsidRDefault="00000000" w:rsidRPr="00000000" w14:paraId="0000001A">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Basado en los modelos de calidad de Sommerville y Pressman, se formaliza la siguiente matriz técnica que define los umbrales de cumplimiento para el proyecto GoApple, con sus respectivas estrategias de implementación:</w:t>
      </w:r>
    </w:p>
    <w:p w:rsidR="00000000" w:rsidDel="00000000" w:rsidP="00000000" w:rsidRDefault="00000000" w:rsidRPr="00000000" w14:paraId="0000001B">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2.5639210828986"/>
        <w:gridCol w:w="1883.333122685507"/>
        <w:gridCol w:w="3042.3073520304347"/>
        <w:gridCol w:w="2477.3074152247827"/>
        <w:tblGridChange w:id="0">
          <w:tblGrid>
            <w:gridCol w:w="1622.5639210828986"/>
            <w:gridCol w:w="1883.333122685507"/>
            <w:gridCol w:w="3042.3073520304347"/>
            <w:gridCol w:w="2477.3074152247827"/>
          </w:tblGrid>
        </w:tblGridChange>
      </w:tblGrid>
      <w:tr>
        <w:trPr>
          <w:cantSplit w:val="0"/>
          <w:trHeight w:val="450" w:hRule="atLeast"/>
          <w:tblHeader w:val="0"/>
        </w:trPr>
        <w:tc>
          <w:tcPr>
            <w:tcBorders>
              <w:top w:color="1f3864" w:space="0" w:sz="6" w:val="single"/>
              <w:left w:color="1f3864" w:space="0" w:sz="6" w:val="single"/>
              <w:bottom w:color="1f3864" w:space="0" w:sz="6" w:val="single"/>
              <w:right w:color="1f3864" w:space="0" w:sz="6" w:val="single"/>
            </w:tcBorders>
            <w:shd w:fill="1f3864" w:val="clear"/>
            <w:tcMar>
              <w:top w:w="100.0" w:type="dxa"/>
              <w:left w:w="120.0" w:type="dxa"/>
              <w:bottom w:w="100.0" w:type="dxa"/>
              <w:right w:w="100.0" w:type="dxa"/>
            </w:tcMar>
            <w:vAlign w:val="top"/>
          </w:tcPr>
          <w:p w:rsidR="00000000" w:rsidDel="00000000" w:rsidP="00000000" w:rsidRDefault="00000000" w:rsidRPr="00000000" w14:paraId="0000001C">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Atributo</w:t>
            </w:r>
          </w:p>
        </w:tc>
        <w:tc>
          <w:tcPr>
            <w:tcBorders>
              <w:top w:color="1f3864" w:space="0" w:sz="6" w:val="single"/>
              <w:left w:color="000000" w:space="0" w:sz="0" w:val="nil"/>
              <w:bottom w:color="1f3864" w:space="0" w:sz="6" w:val="single"/>
              <w:right w:color="1f3864" w:space="0" w:sz="6" w:val="single"/>
            </w:tcBorders>
            <w:shd w:fill="1f3864" w:val="clear"/>
            <w:tcMar>
              <w:top w:w="100.0" w:type="dxa"/>
              <w:left w:w="120.0" w:type="dxa"/>
              <w:bottom w:w="100.0" w:type="dxa"/>
              <w:right w:w="100.0" w:type="dxa"/>
            </w:tcMar>
            <w:vAlign w:val="top"/>
          </w:tcPr>
          <w:p w:rsidR="00000000" w:rsidDel="00000000" w:rsidP="00000000" w:rsidRDefault="00000000" w:rsidRPr="00000000" w14:paraId="0000001D">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Métrica / Umbral</w:t>
            </w:r>
          </w:p>
        </w:tc>
        <w:tc>
          <w:tcPr>
            <w:tcBorders>
              <w:top w:color="1f3864" w:space="0" w:sz="6" w:val="single"/>
              <w:left w:color="000000" w:space="0" w:sz="0" w:val="nil"/>
              <w:bottom w:color="1f3864" w:space="0" w:sz="6" w:val="single"/>
              <w:right w:color="1f3864" w:space="0" w:sz="6" w:val="single"/>
            </w:tcBorders>
            <w:shd w:fill="1f3864" w:val="clear"/>
            <w:tcMar>
              <w:top w:w="100.0" w:type="dxa"/>
              <w:left w:w="120.0" w:type="dxa"/>
              <w:bottom w:w="100.0" w:type="dxa"/>
              <w:right w:w="100.0" w:type="dxa"/>
            </w:tcMar>
            <w:vAlign w:val="top"/>
          </w:tcPr>
          <w:p w:rsidR="00000000" w:rsidDel="00000000" w:rsidP="00000000" w:rsidRDefault="00000000" w:rsidRPr="00000000" w14:paraId="0000001E">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Estrategia de Implementación</w:t>
            </w:r>
          </w:p>
        </w:tc>
        <w:tc>
          <w:tcPr>
            <w:tcBorders>
              <w:top w:color="1f3864" w:space="0" w:sz="6" w:val="single"/>
              <w:left w:color="000000" w:space="0" w:sz="0" w:val="nil"/>
              <w:bottom w:color="1f3864" w:space="0" w:sz="6" w:val="single"/>
              <w:right w:color="1f3864" w:space="0" w:sz="6" w:val="single"/>
            </w:tcBorders>
            <w:shd w:fill="1f3864" w:val="clear"/>
            <w:tcMar>
              <w:top w:w="100.0" w:type="dxa"/>
              <w:left w:w="120.0" w:type="dxa"/>
              <w:bottom w:w="100.0" w:type="dxa"/>
              <w:right w:w="100.0" w:type="dxa"/>
            </w:tcMar>
            <w:vAlign w:val="top"/>
          </w:tcPr>
          <w:p w:rsidR="00000000" w:rsidDel="00000000" w:rsidP="00000000" w:rsidRDefault="00000000" w:rsidRPr="00000000" w14:paraId="0000001F">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Herramienta / Técnica</w:t>
            </w:r>
          </w:p>
        </w:tc>
      </w:tr>
      <w:tr>
        <w:trPr>
          <w:cantSplit w:val="0"/>
          <w:trHeight w:val="126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0">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Rendimiento</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1">
            <w:pPr>
              <w:spacing w:after="40" w:before="40" w:lineRule="auto"/>
              <w:jc w:val="both"/>
              <w:rPr>
                <w:rFonts w:ascii="Arial" w:cs="Arial" w:eastAsia="Arial" w:hAnsi="Arial"/>
                <w:b w:val="1"/>
                <w:bCs w:val="1"/>
                <w:sz w:val="20"/>
                <w:szCs w:val="20"/>
              </w:rPr>
            </w:pPr>
            <w:sdt>
              <w:sdtPr>
                <w:id w:val="-1042160965"/>
                <w:tag w:val="goog_rdk_0"/>
              </w:sdtPr>
              <w:sdtContent>
                <w:r w:rsidDel="00000000" w:rsidR="00000000" w:rsidRPr="00000000">
                  <w:rPr>
                    <w:rFonts w:ascii="Arial Unicode MS" w:cs="Arial Unicode MS" w:eastAsia="Arial Unicode MS" w:hAnsi="Arial Unicode MS"/>
                    <w:b w:val="1"/>
                    <w:bCs w:val="1"/>
                    <w:sz w:val="20"/>
                    <w:szCs w:val="20"/>
                    <w:rtl w:val="0"/>
                  </w:rPr>
                  <w:t xml:space="preserve">Tiempo de respuesta ≤ 1.5 s</w:t>
                </w:r>
              </w:sdtContent>
            </w:sdt>
          </w:p>
          <w:p w:rsidR="00000000" w:rsidDel="00000000" w:rsidP="00000000" w:rsidRDefault="00000000" w:rsidRPr="00000000" w14:paraId="00000022">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(página completa en localhost)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3">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Índices en columnas FK (productos, ventas). Consultas SQL optimizadas con SELECT específico. Caché de sesión PHP.</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4">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Apache Benchmark (ab), opcache PHP, índices MySQL</w:t>
            </w:r>
          </w:p>
        </w:tc>
      </w:tr>
      <w:tr>
        <w:trPr>
          <w:cantSplit w:val="0"/>
          <w:trHeight w:val="126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25">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Seguridad</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26">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 vulnerabilidades XSS/SQL</w:t>
            </w:r>
          </w:p>
          <w:p w:rsidR="00000000" w:rsidDel="00000000" w:rsidP="00000000" w:rsidRDefault="00000000" w:rsidRPr="00000000" w14:paraId="00000027">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Injection en formularios críticos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28">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Validación con filter_var() / filter_input(). Prepared Statements con PDO. Sanitización de entradas en Validator.php.</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29">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PHP PDO, htmlspecialchars(), OWASP Top 10</w:t>
            </w:r>
          </w:p>
        </w:tc>
      </w:tr>
      <w:tr>
        <w:trPr>
          <w:cantSplit w:val="0"/>
          <w:trHeight w:val="126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A">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Confiabilidad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B">
            <w:pPr>
              <w:spacing w:after="40" w:before="40" w:lineRule="auto"/>
              <w:jc w:val="both"/>
              <w:rPr>
                <w:rFonts w:ascii="Arial" w:cs="Arial" w:eastAsia="Arial" w:hAnsi="Arial"/>
                <w:b w:val="1"/>
                <w:bCs w:val="1"/>
                <w:sz w:val="20"/>
                <w:szCs w:val="20"/>
              </w:rPr>
            </w:pPr>
            <w:sdt>
              <w:sdtPr>
                <w:id w:val="-1105857462"/>
                <w:tag w:val="goog_rdk_1"/>
              </w:sdtPr>
              <w:sdtContent>
                <w:r w:rsidDel="00000000" w:rsidR="00000000" w:rsidRPr="00000000">
                  <w:rPr>
                    <w:rFonts w:ascii="Arial Unicode MS" w:cs="Arial Unicode MS" w:eastAsia="Arial Unicode MS" w:hAnsi="Arial Unicode MS"/>
                    <w:b w:val="1"/>
                    <w:bCs w:val="1"/>
                    <w:sz w:val="20"/>
                    <w:szCs w:val="20"/>
                    <w:rtl w:val="0"/>
                  </w:rPr>
                  <w:t xml:space="preserve">Disponibilidad ≥ 99 %</w:t>
                </w:r>
              </w:sdtContent>
            </w:sdt>
          </w:p>
          <w:p w:rsidR="00000000" w:rsidDel="00000000" w:rsidP="00000000" w:rsidRDefault="00000000" w:rsidRPr="00000000" w14:paraId="0000002C">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Tiempo medio entre fallos &gt; 30 días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D">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Manejo de excepciones try/catch en capa de negocio. Logs de error en /logs/. Transacciones MySQL (BEGIN/COMMIT).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2E">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error_log(), PDO::beginTransaction(), XAMPP</w:t>
            </w:r>
          </w:p>
        </w:tc>
      </w:tr>
      <w:tr>
        <w:trPr>
          <w:cantSplit w:val="0"/>
          <w:trHeight w:val="1215"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2F">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Usabilidad</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0">
            <w:pPr>
              <w:spacing w:after="40" w:before="40" w:lineRule="auto"/>
              <w:jc w:val="both"/>
              <w:rPr>
                <w:rFonts w:ascii="Arial" w:cs="Arial" w:eastAsia="Arial" w:hAnsi="Arial"/>
                <w:b w:val="1"/>
                <w:bCs w:val="1"/>
                <w:sz w:val="20"/>
                <w:szCs w:val="20"/>
              </w:rPr>
            </w:pPr>
            <w:sdt>
              <w:sdtPr>
                <w:id w:val="-1056600256"/>
                <w:tag w:val="goog_rdk_2"/>
              </w:sdtPr>
              <w:sdtContent>
                <w:r w:rsidDel="00000000" w:rsidR="00000000" w:rsidRPr="00000000">
                  <w:rPr>
                    <w:rFonts w:ascii="Arial Unicode MS" w:cs="Arial Unicode MS" w:eastAsia="Arial Unicode MS" w:hAnsi="Arial Unicode MS"/>
                    <w:b w:val="1"/>
                    <w:bCs w:val="1"/>
                    <w:sz w:val="20"/>
                    <w:szCs w:val="20"/>
                    <w:rtl w:val="0"/>
                  </w:rPr>
                  <w:t xml:space="preserve">≤ 3 clics para completar</w:t>
                </w:r>
              </w:sdtContent>
            </w:sdt>
          </w:p>
          <w:p w:rsidR="00000000" w:rsidDel="00000000" w:rsidP="00000000" w:rsidRDefault="00000000" w:rsidRPr="00000000" w14:paraId="00000031">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una venta o registro</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2">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Interfaz responsiva con CSS Grid/Flexbox. Mensajes de error claros. Validación en tiempo real con JS.</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3">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Bootstrap / CSS nativo, JavaScript validación</w:t>
            </w:r>
          </w:p>
        </w:tc>
      </w:tr>
      <w:tr>
        <w:trPr>
          <w:cantSplit w:val="0"/>
          <w:trHeight w:val="126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34">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Mantenibilidad</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35">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Cobertura de comentarios</w:t>
            </w:r>
          </w:p>
          <w:p w:rsidR="00000000" w:rsidDel="00000000" w:rsidP="00000000" w:rsidRDefault="00000000" w:rsidRPr="00000000" w14:paraId="00000036">
            <w:pPr>
              <w:spacing w:after="40" w:before="40" w:lineRule="auto"/>
              <w:jc w:val="both"/>
              <w:rPr>
                <w:rFonts w:ascii="Arial" w:cs="Arial" w:eastAsia="Arial" w:hAnsi="Arial"/>
                <w:b w:val="1"/>
                <w:bCs w:val="1"/>
                <w:sz w:val="20"/>
                <w:szCs w:val="20"/>
              </w:rPr>
            </w:pPr>
            <w:sdt>
              <w:sdtPr>
                <w:id w:val="606071700"/>
                <w:tag w:val="goog_rdk_3"/>
              </w:sdtPr>
              <w:sdtContent>
                <w:r w:rsidDel="00000000" w:rsidR="00000000" w:rsidRPr="00000000">
                  <w:rPr>
                    <w:rFonts w:ascii="Arial Unicode MS" w:cs="Arial Unicode MS" w:eastAsia="Arial Unicode MS" w:hAnsi="Arial Unicode MS"/>
                    <w:b w:val="1"/>
                    <w:bCs w:val="1"/>
                    <w:sz w:val="20"/>
                    <w:szCs w:val="20"/>
                    <w:rtl w:val="0"/>
                  </w:rPr>
                  <w:t xml:space="preserve">≥ 70 % en clases del modelo</w:t>
                </w:r>
              </w:sdtContent>
            </w:sdt>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37">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Separación MVC estricta. Nomenclatura PSR-12. Documentación PHPDoc en modelos.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38">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PSR-12, PHPDoc, estructura /models /views /controllers</w:t>
            </w:r>
          </w:p>
        </w:tc>
      </w:tr>
      <w:tr>
        <w:trPr>
          <w:cantSplit w:val="0"/>
          <w:trHeight w:val="126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9">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Escalabilidad</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A">
            <w:pPr>
              <w:spacing w:after="40" w:before="40" w:lineRule="auto"/>
              <w:jc w:val="both"/>
              <w:rPr>
                <w:rFonts w:ascii="Arial" w:cs="Arial" w:eastAsia="Arial" w:hAnsi="Arial"/>
                <w:b w:val="1"/>
                <w:bCs w:val="1"/>
                <w:sz w:val="20"/>
                <w:szCs w:val="20"/>
              </w:rPr>
            </w:pPr>
            <w:sdt>
              <w:sdtPr>
                <w:id w:val="481717965"/>
                <w:tag w:val="goog_rdk_4"/>
              </w:sdtPr>
              <w:sdtContent>
                <w:r w:rsidDel="00000000" w:rsidR="00000000" w:rsidRPr="00000000">
                  <w:rPr>
                    <w:rFonts w:ascii="Arial Unicode MS" w:cs="Arial Unicode MS" w:eastAsia="Arial Unicode MS" w:hAnsi="Arial Unicode MS"/>
                    <w:b w:val="1"/>
                    <w:bCs w:val="1"/>
                    <w:sz w:val="20"/>
                    <w:szCs w:val="20"/>
                    <w:rtl w:val="0"/>
                  </w:rPr>
                  <w:t xml:space="preserve">Soporte ≥ 10 usuarios</w:t>
                </w:r>
              </w:sdtContent>
            </w:sdt>
          </w:p>
          <w:p w:rsidR="00000000" w:rsidDel="00000000" w:rsidP="00000000" w:rsidRDefault="00000000" w:rsidRPr="00000000" w14:paraId="0000003B">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concurrentes sin degradación</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C">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Arquitectura stateless en PHP. Separación BD / lógica. Posibilidad de migrar a servidor VPS externo.</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3D">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Apache mod_php, MySQL connection pooling</w:t>
            </w:r>
          </w:p>
        </w:tc>
      </w:tr>
    </w:tbl>
    <w:p w:rsidR="00000000" w:rsidDel="00000000" w:rsidP="00000000" w:rsidRDefault="00000000" w:rsidRPr="00000000" w14:paraId="0000003E">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F">
      <w:pPr>
        <w:pStyle w:val="Heading2"/>
        <w:keepNext w:val="0"/>
        <w:keepLines w:val="0"/>
        <w:spacing w:after="160" w:before="280" w:lineRule="auto"/>
        <w:jc w:val="both"/>
        <w:rPr>
          <w:rFonts w:ascii="Arial" w:cs="Arial" w:eastAsia="Arial" w:hAnsi="Arial"/>
          <w:sz w:val="34"/>
          <w:szCs w:val="34"/>
        </w:rPr>
      </w:pPr>
      <w:bookmarkStart w:colFirst="0" w:colLast="0" w:name="_heading=h.hpuq4n60ja8m" w:id="0"/>
      <w:bookmarkEnd w:id="0"/>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keepNext w:val="0"/>
        <w:keepLines w:val="0"/>
        <w:spacing w:after="160" w:before="280" w:lineRule="auto"/>
        <w:jc w:val="both"/>
        <w:rPr>
          <w:rFonts w:ascii="Arial" w:cs="Arial" w:eastAsia="Arial" w:hAnsi="Arial"/>
          <w:sz w:val="24"/>
          <w:szCs w:val="24"/>
        </w:rPr>
      </w:pPr>
      <w:bookmarkStart w:colFirst="0" w:colLast="0" w:name="_heading=h.x165ifsw1bsg" w:id="1"/>
      <w:bookmarkEnd w:id="1"/>
      <w:r w:rsidDel="00000000" w:rsidR="00000000" w:rsidRPr="00000000">
        <w:rPr>
          <w:rFonts w:ascii="Arial" w:cs="Arial" w:eastAsia="Arial" w:hAnsi="Arial"/>
          <w:sz w:val="24"/>
          <w:szCs w:val="24"/>
          <w:rtl w:val="0"/>
        </w:rPr>
        <w:t xml:space="preserve">1.1 Rendimiento</w:t>
      </w:r>
    </w:p>
    <w:p w:rsidR="00000000" w:rsidDel="00000000" w:rsidP="00000000" w:rsidRDefault="00000000" w:rsidRPr="00000000" w14:paraId="00000041">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GoApple opera en un entorno PHP/XAMPP donde el tiempo de respuesta es crítico para la experiencia del cajero. Se establecen las siguientes métricas:</w:t>
      </w:r>
    </w:p>
    <w:p w:rsidR="00000000" w:rsidDel="00000000" w:rsidP="00000000" w:rsidRDefault="00000000" w:rsidRPr="00000000" w14:paraId="00000042">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1141457215"/>
          <w:tag w:val="goog_rdk_5"/>
        </w:sdtPr>
        <w:sdtContent>
          <w:r w:rsidDel="00000000" w:rsidR="00000000" w:rsidRPr="00000000">
            <w:rPr>
              <w:rFonts w:ascii="Arial Unicode MS" w:cs="Arial Unicode MS" w:eastAsia="Arial Unicode MS" w:hAnsi="Arial Unicode MS"/>
              <w:rtl w:val="0"/>
            </w:rPr>
            <w:t xml:space="preserve">Carga inicial del dashboard: ≤ 1.5 segundos en localhost.</w:t>
          </w:r>
        </w:sdtContent>
      </w:sdt>
    </w:p>
    <w:p w:rsidR="00000000" w:rsidDel="00000000" w:rsidP="00000000" w:rsidRDefault="00000000" w:rsidRPr="00000000" w14:paraId="00000043">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802053403"/>
          <w:tag w:val="goog_rdk_6"/>
        </w:sdtPr>
        <w:sdtContent>
          <w:r w:rsidDel="00000000" w:rsidR="00000000" w:rsidRPr="00000000">
            <w:rPr>
              <w:rFonts w:ascii="Arial Unicode MS" w:cs="Arial Unicode MS" w:eastAsia="Arial Unicode MS" w:hAnsi="Arial Unicode MS"/>
              <w:rtl w:val="0"/>
            </w:rPr>
            <w:t xml:space="preserve">Registro de una venta completa: ≤ 2 segundos.</w:t>
          </w:r>
        </w:sdtContent>
      </w:sdt>
    </w:p>
    <w:p w:rsidR="00000000" w:rsidDel="00000000" w:rsidP="00000000" w:rsidRDefault="00000000" w:rsidRPr="00000000" w14:paraId="00000044">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1547713951"/>
          <w:tag w:val="goog_rdk_7"/>
        </w:sdtPr>
        <w:sdtContent>
          <w:r w:rsidDel="00000000" w:rsidR="00000000" w:rsidRPr="00000000">
            <w:rPr>
              <w:rFonts w:ascii="Arial Unicode MS" w:cs="Arial Unicode MS" w:eastAsia="Arial Unicode MS" w:hAnsi="Arial Unicode MS"/>
              <w:rtl w:val="0"/>
            </w:rPr>
            <w:t xml:space="preserve">Consulta de inventario (100–500 productos): ≤ 0.8 segundos.</w:t>
          </w:r>
        </w:sdtContent>
      </w:sdt>
    </w:p>
    <w:p w:rsidR="00000000" w:rsidDel="00000000" w:rsidP="00000000" w:rsidRDefault="00000000" w:rsidRPr="00000000" w14:paraId="00000045">
      <w:pPr>
        <w:spacing w:after="120" w:before="120" w:lineRule="auto"/>
        <w:ind w:left="360" w:firstLine="0"/>
        <w:jc w:val="both"/>
        <w:rPr>
          <w:rFonts w:ascii="Arial" w:cs="Arial" w:eastAsia="Arial" w:hAnsi="Arial"/>
          <w:b w:val="1"/>
          <w:bCs w:val="1"/>
        </w:rPr>
      </w:pPr>
      <w:r w:rsidDel="00000000" w:rsidR="00000000" w:rsidRPr="00000000">
        <w:rPr>
          <w:rFonts w:ascii="Arial" w:cs="Arial" w:eastAsia="Arial" w:hAnsi="Arial"/>
          <w:rtl w:val="0"/>
        </w:rPr>
        <w:t xml:space="preserve">Estrategias: uso de opcache de PHP para caché de bytecode, índices en columnas de búsqueda frecuente (producto_id, cliente_id, fecha_venta), y consultas SELECT con campos específicos en lugar de SELECT *.</w:t>
      </w:r>
      <w:r w:rsidDel="00000000" w:rsidR="00000000" w:rsidRPr="00000000">
        <w:rPr>
          <w:rtl w:val="0"/>
        </w:rPr>
      </w:r>
    </w:p>
    <w:p w:rsidR="00000000" w:rsidDel="00000000" w:rsidP="00000000" w:rsidRDefault="00000000" w:rsidRPr="00000000" w14:paraId="00000046">
      <w:pPr>
        <w:pStyle w:val="Heading2"/>
        <w:keepNext w:val="0"/>
        <w:keepLines w:val="0"/>
        <w:spacing w:after="160" w:before="280" w:lineRule="auto"/>
        <w:jc w:val="both"/>
        <w:rPr>
          <w:rFonts w:ascii="Arial" w:cs="Arial" w:eastAsia="Arial" w:hAnsi="Arial"/>
          <w:sz w:val="24"/>
          <w:szCs w:val="24"/>
        </w:rPr>
      </w:pPr>
      <w:bookmarkStart w:colFirst="0" w:colLast="0" w:name="_heading=h.t25k2nxdv61p" w:id="2"/>
      <w:bookmarkEnd w:id="2"/>
      <w:r w:rsidDel="00000000" w:rsidR="00000000" w:rsidRPr="00000000">
        <w:rPr>
          <w:rFonts w:ascii="Arial" w:cs="Arial" w:eastAsia="Arial" w:hAnsi="Arial"/>
          <w:sz w:val="24"/>
          <w:szCs w:val="24"/>
          <w:rtl w:val="0"/>
        </w:rPr>
        <w:t xml:space="preserve">1.2 Seguridad</w:t>
      </w:r>
    </w:p>
    <w:p w:rsidR="00000000" w:rsidDel="00000000" w:rsidP="00000000" w:rsidRDefault="00000000" w:rsidRPr="00000000" w14:paraId="00000047">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La seguridad es prioritaria dado que el sistema maneja datos comerciales sensibles (ventas, créditos, información de clientes). Protocolo de protección aplicado:</w:t>
      </w:r>
    </w:p>
    <w:p w:rsidR="00000000" w:rsidDel="00000000" w:rsidP="00000000" w:rsidRDefault="00000000" w:rsidRPr="00000000" w14:paraId="00000048">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Validación de entradas con filter_var() y filter_input() en todas las rutas del servidor.</w:t>
      </w:r>
    </w:p>
    <w:p w:rsidR="00000000" w:rsidDel="00000000" w:rsidP="00000000" w:rsidRDefault="00000000" w:rsidRPr="00000000" w14:paraId="00000049">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Prevención de SQL Injection mediante Prepared Statements con PDO (nunca concatenación directa en queries).</w:t>
      </w:r>
    </w:p>
    <w:p w:rsidR="00000000" w:rsidDel="00000000" w:rsidP="00000000" w:rsidRDefault="00000000" w:rsidRPr="00000000" w14:paraId="0000004A">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Sanitización con htmlspecialchars() para prevenir XSS en vistas.</w:t>
      </w:r>
    </w:p>
    <w:p w:rsidR="00000000" w:rsidDel="00000000" w:rsidP="00000000" w:rsidRDefault="00000000" w:rsidRPr="00000000" w14:paraId="0000004B">
      <w:pPr>
        <w:spacing w:after="80" w:before="80" w:lineRule="auto"/>
        <w:ind w:left="1080" w:hanging="360"/>
        <w:jc w:val="both"/>
        <w:rPr>
          <w:rFonts w:ascii="Arial" w:cs="Arial" w:eastAsia="Arial" w:hAnsi="Arial"/>
          <w:b w:val="1"/>
          <w:bCs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Control de acceso por roles: administrador y vendedor con sesiones PHP verificadas en cada request.</w:t>
      </w:r>
      <w:r w:rsidDel="00000000" w:rsidR="00000000" w:rsidRPr="00000000">
        <w:rPr>
          <w:rtl w:val="0"/>
        </w:rPr>
      </w:r>
    </w:p>
    <w:p w:rsidR="00000000" w:rsidDel="00000000" w:rsidP="00000000" w:rsidRDefault="00000000" w:rsidRPr="00000000" w14:paraId="0000004C">
      <w:pPr>
        <w:pStyle w:val="Heading2"/>
        <w:keepNext w:val="0"/>
        <w:keepLines w:val="0"/>
        <w:spacing w:after="160" w:before="280" w:lineRule="auto"/>
        <w:jc w:val="both"/>
        <w:rPr>
          <w:rFonts w:ascii="Arial" w:cs="Arial" w:eastAsia="Arial" w:hAnsi="Arial"/>
          <w:sz w:val="24"/>
          <w:szCs w:val="24"/>
        </w:rPr>
      </w:pPr>
      <w:bookmarkStart w:colFirst="0" w:colLast="0" w:name="_heading=h.olkdz7rp1nbe" w:id="3"/>
      <w:bookmarkEnd w:id="3"/>
      <w:r w:rsidDel="00000000" w:rsidR="00000000" w:rsidRPr="00000000">
        <w:rPr>
          <w:rFonts w:ascii="Arial" w:cs="Arial" w:eastAsia="Arial" w:hAnsi="Arial"/>
          <w:sz w:val="24"/>
          <w:szCs w:val="24"/>
          <w:rtl w:val="0"/>
        </w:rPr>
        <w:t xml:space="preserve">1.3 Confiabilidad y Usabilidad</w:t>
      </w:r>
    </w:p>
    <w:p w:rsidR="00000000" w:rsidDel="00000000" w:rsidP="00000000" w:rsidRDefault="00000000" w:rsidRPr="00000000" w14:paraId="0000004D">
      <w:pPr>
        <w:spacing w:after="120" w:before="12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Confiabilidad — Mecanismos de tolerancia a fallos:</w:t>
      </w:r>
    </w:p>
    <w:p w:rsidR="00000000" w:rsidDel="00000000" w:rsidP="00000000" w:rsidRDefault="00000000" w:rsidRPr="00000000" w14:paraId="0000004E">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Manejo de excepciones con bloques try/catch en todas las operaciones de base de datos.</w:t>
      </w:r>
    </w:p>
    <w:p w:rsidR="00000000" w:rsidDel="00000000" w:rsidP="00000000" w:rsidRDefault="00000000" w:rsidRPr="00000000" w14:paraId="0000004F">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Transacciones MySQL (BEGIN / COMMIT / ROLLBACK) en operaciones multi-tabla (venta + detalle_venta + descuento de stock).</w:t>
      </w:r>
    </w:p>
    <w:p w:rsidR="00000000" w:rsidDel="00000000" w:rsidP="00000000" w:rsidRDefault="00000000" w:rsidRPr="00000000" w14:paraId="00000050">
      <w:pPr>
        <w:spacing w:after="80" w:before="80" w:lineRule="auto"/>
        <w:ind w:left="1080" w:hanging="360"/>
        <w:jc w:val="both"/>
        <w:rPr>
          <w:rFonts w:ascii="Arial" w:cs="Arial" w:eastAsia="Arial" w:hAnsi="Arial"/>
          <w:b w:val="1"/>
          <w:bCs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Sistema de logs en /logs/error.log con registro de errores críticos mediante error_log().</w:t>
      </w:r>
      <w:r w:rsidDel="00000000" w:rsidR="00000000" w:rsidRPr="00000000">
        <w:rPr>
          <w:rtl w:val="0"/>
        </w:rPr>
      </w:r>
    </w:p>
    <w:p w:rsidR="00000000" w:rsidDel="00000000" w:rsidP="00000000" w:rsidRDefault="00000000" w:rsidRPr="00000000" w14:paraId="00000051">
      <w:pPr>
        <w:spacing w:after="120" w:before="12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Usabilidad — Criterios de experiencia de usuario:</w:t>
      </w:r>
    </w:p>
    <w:p w:rsidR="00000000" w:rsidDel="00000000" w:rsidP="00000000" w:rsidRDefault="00000000" w:rsidRPr="00000000" w14:paraId="00000052">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Navegación en máximo 3 clics desde el dashboard hasta completar cualquier operación.</w:t>
      </w:r>
    </w:p>
    <w:p w:rsidR="00000000" w:rsidDel="00000000" w:rsidP="00000000" w:rsidRDefault="00000000" w:rsidRPr="00000000" w14:paraId="00000053">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Mensajes de retroalimentación claros en cada acción (éxito, error, advertencia).</w:t>
      </w:r>
    </w:p>
    <w:p w:rsidR="00000000" w:rsidDel="00000000" w:rsidP="00000000" w:rsidRDefault="00000000" w:rsidRPr="00000000" w14:paraId="00000054">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Interfaz responsiva que funciona correctamente en tablets y PC de escritorio.</w:t>
      </w:r>
    </w:p>
    <w:p w:rsidR="00000000" w:rsidDel="00000000" w:rsidP="00000000" w:rsidRDefault="00000000" w:rsidRPr="00000000" w14:paraId="00000055">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Validación en tiempo real con JavaScript antes del envío al servidor.</w:t>
      </w:r>
    </w:p>
    <w:p w:rsidR="00000000" w:rsidDel="00000000" w:rsidP="00000000" w:rsidRDefault="00000000" w:rsidRPr="00000000" w14:paraId="0000005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2: Análisis Prospectivo: El "Costo de Cambio" </w:t>
      </w:r>
    </w:p>
    <w:p w:rsidR="00000000" w:rsidDel="00000000" w:rsidP="00000000" w:rsidRDefault="00000000" w:rsidRPr="00000000" w14:paraId="00000058">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La arquitectura MVC implementada en GoApple permite reducir significativamente el impacto técnico y económico ante cambios mayores. A continuación se evalúan los escenarios de modificación más probables: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1639.6830138997902"/>
        <w:gridCol w:w="1828.3191128440137"/>
        <w:gridCol w:w="1828.3191128440137"/>
        <w:gridCol w:w="1509.0887915537892"/>
        <w:tblGridChange w:id="0">
          <w:tblGrid>
            <w:gridCol w:w="2220.1017798820167"/>
            <w:gridCol w:w="1639.6830138997902"/>
            <w:gridCol w:w="1828.3191128440137"/>
            <w:gridCol w:w="1828.3191128440137"/>
            <w:gridCol w:w="1509.0887915537892"/>
          </w:tblGrid>
        </w:tblGridChange>
      </w:tblGrid>
      <w:tr>
        <w:trPr>
          <w:cantSplit w:val="0"/>
          <w:trHeight w:val="405" w:hRule="atLeast"/>
          <w:tblHeader w:val="0"/>
        </w:trPr>
        <w:tc>
          <w:tcPr>
            <w:tcBorders>
              <w:top w:color="2e5fa3" w:space="0" w:sz="6" w:val="single"/>
              <w:left w:color="2e5fa3" w:space="0" w:sz="6" w:val="single"/>
              <w:bottom w:color="2e5fa3" w:space="0" w:sz="6" w:val="single"/>
              <w:right w:color="2e5fa3" w:space="0" w:sz="6" w:val="single"/>
            </w:tcBorders>
            <w:shd w:fill="2e5fa3" w:val="clear"/>
            <w:tcMar>
              <w:top w:w="80.0" w:type="dxa"/>
              <w:left w:w="100.0" w:type="dxa"/>
              <w:bottom w:w="80.0" w:type="dxa"/>
              <w:right w:w="80.0" w:type="dxa"/>
            </w:tcMar>
            <w:vAlign w:val="top"/>
          </w:tcPr>
          <w:p w:rsidR="00000000" w:rsidDel="00000000" w:rsidP="00000000" w:rsidRDefault="00000000" w:rsidRPr="00000000" w14:paraId="00000059">
            <w:pPr>
              <w:spacing w:after="240" w:before="240"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Escenario de Cambio</w:t>
            </w:r>
          </w:p>
        </w:tc>
        <w:tc>
          <w:tcPr>
            <w:tcBorders>
              <w:top w:color="2e5fa3" w:space="0" w:sz="6" w:val="single"/>
              <w:left w:color="000000" w:space="0" w:sz="0" w:val="nil"/>
              <w:bottom w:color="2e5fa3" w:space="0" w:sz="6" w:val="single"/>
              <w:right w:color="2e5fa3" w:space="0" w:sz="6" w:val="single"/>
            </w:tcBorders>
            <w:shd w:fill="2e5fa3" w:val="clear"/>
            <w:tcMar>
              <w:top w:w="80.0" w:type="dxa"/>
              <w:left w:w="100.0" w:type="dxa"/>
              <w:bottom w:w="80.0" w:type="dxa"/>
              <w:right w:w="80.0" w:type="dxa"/>
            </w:tcMar>
            <w:vAlign w:val="top"/>
          </w:tcPr>
          <w:p w:rsidR="00000000" w:rsidDel="00000000" w:rsidP="00000000" w:rsidRDefault="00000000" w:rsidRPr="00000000" w14:paraId="0000005A">
            <w:pPr>
              <w:spacing w:after="240" w:before="240"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Capa Afectada</w:t>
            </w:r>
          </w:p>
        </w:tc>
        <w:tc>
          <w:tcPr>
            <w:tcBorders>
              <w:top w:color="2e5fa3" w:space="0" w:sz="6" w:val="single"/>
              <w:left w:color="000000" w:space="0" w:sz="0" w:val="nil"/>
              <w:bottom w:color="2e5fa3" w:space="0" w:sz="6" w:val="single"/>
              <w:right w:color="2e5fa3" w:space="0" w:sz="6" w:val="single"/>
            </w:tcBorders>
            <w:shd w:fill="2e5fa3" w:val="clear"/>
            <w:tcMar>
              <w:top w:w="80.0" w:type="dxa"/>
              <w:left w:w="100.0" w:type="dxa"/>
              <w:bottom w:w="80.0" w:type="dxa"/>
              <w:right w:w="80.0" w:type="dxa"/>
            </w:tcMar>
            <w:vAlign w:val="top"/>
          </w:tcPr>
          <w:p w:rsidR="00000000" w:rsidDel="00000000" w:rsidP="00000000" w:rsidRDefault="00000000" w:rsidRPr="00000000" w14:paraId="0000005B">
            <w:pPr>
              <w:spacing w:after="240" w:before="240"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Impacto sin MVC</w:t>
            </w:r>
          </w:p>
        </w:tc>
        <w:tc>
          <w:tcPr>
            <w:tcBorders>
              <w:top w:color="2e5fa3" w:space="0" w:sz="6" w:val="single"/>
              <w:left w:color="000000" w:space="0" w:sz="0" w:val="nil"/>
              <w:bottom w:color="2e5fa3" w:space="0" w:sz="6" w:val="single"/>
              <w:right w:color="2e5fa3" w:space="0" w:sz="6" w:val="single"/>
            </w:tcBorders>
            <w:shd w:fill="2e5fa3" w:val="clear"/>
            <w:tcMar>
              <w:top w:w="80.0" w:type="dxa"/>
              <w:left w:w="100.0" w:type="dxa"/>
              <w:bottom w:w="80.0" w:type="dxa"/>
              <w:right w:w="80.0" w:type="dxa"/>
            </w:tcMar>
            <w:vAlign w:val="top"/>
          </w:tcPr>
          <w:p w:rsidR="00000000" w:rsidDel="00000000" w:rsidP="00000000" w:rsidRDefault="00000000" w:rsidRPr="00000000" w14:paraId="0000005C">
            <w:pPr>
              <w:spacing w:after="240" w:before="240"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Impacto con MVC</w:t>
            </w:r>
          </w:p>
        </w:tc>
        <w:tc>
          <w:tcPr>
            <w:tcBorders>
              <w:top w:color="2e5fa3" w:space="0" w:sz="6" w:val="single"/>
              <w:left w:color="000000" w:space="0" w:sz="0" w:val="nil"/>
              <w:bottom w:color="2e5fa3" w:space="0" w:sz="6" w:val="single"/>
              <w:right w:color="2e5fa3" w:space="0" w:sz="6" w:val="single"/>
            </w:tcBorders>
            <w:shd w:fill="2e5fa3" w:val="clear"/>
            <w:tcMar>
              <w:top w:w="80.0" w:type="dxa"/>
              <w:left w:w="100.0" w:type="dxa"/>
              <w:bottom w:w="80.0" w:type="dxa"/>
              <w:right w:w="80.0" w:type="dxa"/>
            </w:tcMar>
            <w:vAlign w:val="top"/>
          </w:tcPr>
          <w:p w:rsidR="00000000" w:rsidDel="00000000" w:rsidP="00000000" w:rsidRDefault="00000000" w:rsidRPr="00000000" w14:paraId="0000005D">
            <w:pPr>
              <w:spacing w:after="240" w:before="240" w:lineRule="auto"/>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Estimado Horas</w:t>
            </w:r>
          </w:p>
        </w:tc>
      </w:tr>
      <w:tr>
        <w:trPr>
          <w:cantSplit w:val="0"/>
          <w:trHeight w:val="8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5E">
            <w:pPr>
              <w:spacing w:after="40" w:before="40" w:lineRule="auto"/>
              <w:jc w:val="both"/>
              <w:rPr>
                <w:rFonts w:ascii="Arial" w:cs="Arial" w:eastAsia="Arial" w:hAnsi="Arial"/>
                <w:b w:val="1"/>
                <w:bCs w:val="1"/>
                <w:sz w:val="18"/>
                <w:szCs w:val="18"/>
              </w:rPr>
            </w:pPr>
            <w:sdt>
              <w:sdtPr>
                <w:id w:val="648743317"/>
                <w:tag w:val="goog_rdk_8"/>
              </w:sdtPr>
              <w:sdtContent>
                <w:r w:rsidDel="00000000" w:rsidR="00000000" w:rsidRPr="00000000">
                  <w:rPr>
                    <w:rFonts w:ascii="Arial Unicode MS" w:cs="Arial Unicode MS" w:eastAsia="Arial Unicode MS" w:hAnsi="Arial Unicode MS"/>
                    <w:b w:val="1"/>
                    <w:bCs w:val="1"/>
                    <w:sz w:val="18"/>
                    <w:szCs w:val="18"/>
                    <w:rtl w:val="0"/>
                  </w:rPr>
                  <w:t xml:space="preserve">Migración de MySQL → PostgreSQL</w:t>
                </w:r>
              </w:sdtContent>
            </w:sdt>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5F">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 de Datos</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0">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Alto: reescribir toda la lógica de consultas</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1">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Bajo: solo modificar database.php y modelos</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2">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4–8 h</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3">
            <w:pPr>
              <w:spacing w:after="40" w:before="40" w:lineRule="auto"/>
              <w:jc w:val="both"/>
              <w:rPr>
                <w:rFonts w:ascii="Arial" w:cs="Arial" w:eastAsia="Arial" w:hAnsi="Arial"/>
                <w:b w:val="1"/>
                <w:bCs w:val="1"/>
                <w:sz w:val="18"/>
                <w:szCs w:val="18"/>
              </w:rPr>
            </w:pPr>
            <w:sdt>
              <w:sdtPr>
                <w:id w:val="720596743"/>
                <w:tag w:val="goog_rdk_9"/>
              </w:sdtPr>
              <w:sdtContent>
                <w:r w:rsidDel="00000000" w:rsidR="00000000" w:rsidRPr="00000000">
                  <w:rPr>
                    <w:rFonts w:ascii="Arial Unicode MS" w:cs="Arial Unicode MS" w:eastAsia="Arial Unicode MS" w:hAnsi="Arial Unicode MS"/>
                    <w:b w:val="1"/>
                    <w:bCs w:val="1"/>
                    <w:sz w:val="18"/>
                    <w:szCs w:val="18"/>
                    <w:rtl w:val="0"/>
                  </w:rPr>
                  <w:t xml:space="preserve">Cambio de servidor Apache → Nginx</w:t>
                </w:r>
              </w:sdtContent>
            </w:sdt>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4">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Infraestructura</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5">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Medio: revisar rutas .htaccess</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6">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Mínimo: ajustar config del servidor</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7">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1–2 h</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8">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Integración módulo de facturación electrónica</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9">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 de Negocio</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A">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Alto: acoplar con código existente</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B">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Bajo: agregar nuevo controlador + modelo</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6C">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6–12 h</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D">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Rediseño completo del frontend</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E">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 de Presentación</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6F">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Alto: cambios en cada script PHP</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70">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Mínimo: solo archivos /views/</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71">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3–6 h</w:t>
            </w:r>
          </w:p>
        </w:tc>
      </w:tr>
      <w:tr>
        <w:trPr>
          <w:cantSplit w:val="0"/>
          <w:trHeight w:val="66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2">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Agregar autenticación OAuth 2.0</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3">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 de Negocio + Config</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4">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Alto: cambios transversales</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5">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Bajo: nuevo middleware en /Core/</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76">
            <w:pPr>
              <w:spacing w:after="40" w:before="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4–8 h</w:t>
            </w:r>
          </w:p>
        </w:tc>
      </w:tr>
    </w:tbl>
    <w:p w:rsidR="00000000" w:rsidDel="00000000" w:rsidP="00000000" w:rsidRDefault="00000000" w:rsidRPr="00000000" w14:paraId="00000077">
      <w:pPr>
        <w:pStyle w:val="Heading2"/>
        <w:keepNext w:val="0"/>
        <w:keepLines w:val="0"/>
        <w:spacing w:after="160" w:before="280" w:lineRule="auto"/>
        <w:jc w:val="both"/>
        <w:rPr>
          <w:rFonts w:ascii="Arial" w:cs="Arial" w:eastAsia="Arial" w:hAnsi="Arial"/>
          <w:sz w:val="24"/>
          <w:szCs w:val="24"/>
        </w:rPr>
      </w:pPr>
      <w:bookmarkStart w:colFirst="0" w:colLast="0" w:name="_heading=h.27hjwugjfplj" w:id="4"/>
      <w:bookmarkEnd w:id="4"/>
      <w:r w:rsidDel="00000000" w:rsidR="00000000" w:rsidRPr="00000000">
        <w:rPr>
          <w:rFonts w:ascii="Arial" w:cs="Arial" w:eastAsia="Arial" w:hAnsi="Arial"/>
          <w:sz w:val="24"/>
          <w:szCs w:val="24"/>
          <w:rtl w:val="0"/>
        </w:rPr>
        <w:t xml:space="preserve">2.1 Escenario Principal: Migración de MySQL a PostgreSQL</w:t>
      </w:r>
    </w:p>
    <w:p w:rsidR="00000000" w:rsidDel="00000000" w:rsidP="00000000" w:rsidRDefault="00000000" w:rsidRPr="00000000" w14:paraId="00000078">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Este escenario ilustra la ventaja central de la arquitectura en capas. En un sistema monolítico tradicional, la migración de motor de base de datos implicaría reescribir la lógica de negocio completa, las vistas y la configuración de manera entrelazada.</w:t>
      </w:r>
    </w:p>
    <w:p w:rsidR="00000000" w:rsidDel="00000000" w:rsidP="00000000" w:rsidRDefault="00000000" w:rsidRPr="00000000" w14:paraId="00000079">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Con la arquitectura MVC de GoApple, el cambio se limita a:</w:t>
      </w:r>
    </w:p>
    <w:p w:rsidR="00000000" w:rsidDel="00000000" w:rsidP="00000000" w:rsidRDefault="00000000" w:rsidRPr="00000000" w14:paraId="0000007A">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Modificar database.php en /config/ para cambiar el DSN de mysql: a pgsql:.</w:t>
      </w:r>
    </w:p>
    <w:p w:rsidR="00000000" w:rsidDel="00000000" w:rsidP="00000000" w:rsidRDefault="00000000" w:rsidRPr="00000000" w14:paraId="0000007B">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790031136"/>
          <w:tag w:val="goog_rdk_10"/>
        </w:sdtPr>
        <w:sdtContent>
          <w:r w:rsidDel="00000000" w:rsidR="00000000" w:rsidRPr="00000000">
            <w:rPr>
              <w:rFonts w:ascii="Arial Unicode MS" w:cs="Arial Unicode MS" w:eastAsia="Arial Unicode MS" w:hAnsi="Arial Unicode MS"/>
              <w:rtl w:val="0"/>
            </w:rPr>
            <w:t xml:space="preserve">Adaptar los modelos en /models/ que usan sintaxis específica de MySQL (ej: AUTO_INCREMENT → SERIAL).</w:t>
          </w:r>
        </w:sdtContent>
      </w:sdt>
    </w:p>
    <w:p w:rsidR="00000000" w:rsidDel="00000000" w:rsidP="00000000" w:rsidRDefault="00000000" w:rsidRPr="00000000" w14:paraId="0000007C">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La capa de presentación (/views/) y los controladores (/controllers/) permanecen sin modificación.</w:t>
      </w:r>
    </w:p>
    <w:p w:rsidR="00000000" w:rsidDel="00000000" w:rsidP="00000000" w:rsidRDefault="00000000" w:rsidRPr="00000000" w14:paraId="0000007D">
      <w:pPr>
        <w:spacing w:after="120" w:before="12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Estimación de impacto económico: cambio en sistema monolítico ~40–80 horas de desarrollo; con arquitectura MVC de GoApple ~4–8 horas. Reducción del costo de cambio: 80–90%.</w:t>
      </w:r>
    </w:p>
    <w:p w:rsidR="00000000" w:rsidDel="00000000" w:rsidP="00000000" w:rsidRDefault="00000000" w:rsidRPr="00000000" w14:paraId="0000007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F">
      <w:pPr>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3: Implementación de Capa de Validación (Lógica de Control) </w:t>
        <w:tab/>
      </w:r>
    </w:p>
    <w:p w:rsidR="00000000" w:rsidDel="00000000" w:rsidP="00000000" w:rsidRDefault="00000000" w:rsidRPr="00000000" w14:paraId="00000081">
      <w:pPr>
        <w:spacing w:after="120" w:before="120" w:lineRule="auto"/>
        <w:jc w:val="both"/>
        <w:rPr>
          <w:rFonts w:ascii="Arial" w:cs="Arial" w:eastAsia="Arial" w:hAnsi="Arial"/>
          <w:b w:val="1"/>
          <w:bCs w:val="1"/>
        </w:rPr>
      </w:pPr>
      <w:r w:rsidDel="00000000" w:rsidR="00000000" w:rsidRPr="00000000">
        <w:rPr>
          <w:rFonts w:ascii="Arial" w:cs="Arial" w:eastAsia="Arial" w:hAnsi="Arial"/>
          <w:rtl w:val="0"/>
        </w:rPr>
        <w:t xml:space="preserve">Se desarrolla el componente Validator.php dentro del directorio /app/Core/ del proyecto GoApple. Este componente intercepta los datos de entrada antes de su procesamiento en la capa de negocio, aplicando filtros nativos de PHP para asegurar la integridad y seguridad de la información.</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82">
      <w:pPr>
        <w:pStyle w:val="Heading2"/>
        <w:keepNext w:val="0"/>
        <w:keepLines w:val="0"/>
        <w:spacing w:after="160" w:before="280" w:lineRule="auto"/>
        <w:jc w:val="both"/>
        <w:rPr>
          <w:rFonts w:ascii="Arial" w:cs="Arial" w:eastAsia="Arial" w:hAnsi="Arial"/>
          <w:sz w:val="24"/>
          <w:szCs w:val="24"/>
        </w:rPr>
      </w:pPr>
      <w:bookmarkStart w:colFirst="0" w:colLast="0" w:name="_heading=h.kftf0q4j4j2l" w:id="5"/>
      <w:bookmarkEnd w:id="5"/>
      <w:r w:rsidDel="00000000" w:rsidR="00000000" w:rsidRPr="00000000">
        <w:rPr>
          <w:rFonts w:ascii="Arial" w:cs="Arial" w:eastAsia="Arial" w:hAnsi="Arial"/>
          <w:sz w:val="24"/>
          <w:szCs w:val="24"/>
          <w:rtl w:val="0"/>
        </w:rPr>
        <w:t xml:space="preserve">3.1 Ubicación en la Arquitectura</w:t>
      </w:r>
    </w:p>
    <w:p w:rsidR="00000000" w:rsidDel="00000000" w:rsidP="00000000" w:rsidRDefault="00000000" w:rsidRPr="00000000" w14:paraId="00000083">
      <w:pPr>
        <w:spacing w:after="120" w:before="120" w:lineRule="auto"/>
        <w:jc w:val="both"/>
        <w:rPr>
          <w:rFonts w:ascii="Arial" w:cs="Arial" w:eastAsia="Arial" w:hAnsi="Arial"/>
          <w:b w:val="1"/>
          <w:bCs w:val="1"/>
          <w:color w:val="2e75b6"/>
        </w:rPr>
      </w:pPr>
      <w:r w:rsidDel="00000000" w:rsidR="00000000" w:rsidRPr="00000000">
        <w:rPr>
          <w:rFonts w:ascii="Arial" w:cs="Arial" w:eastAsia="Arial" w:hAnsi="Arial"/>
          <w:b w:val="1"/>
          <w:bCs w:val="1"/>
          <w:color w:val="2e75b6"/>
          <w:rtl w:val="0"/>
        </w:rPr>
        <w:t xml:space="preserve">Ruta: /goapple/app/Core/Validator.php</w:t>
      </w:r>
    </w:p>
    <w:p w:rsidR="00000000" w:rsidDel="00000000" w:rsidP="00000000" w:rsidRDefault="00000000" w:rsidRPr="00000000" w14:paraId="00000084">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El componente actúa como middleware entre el request HTTP y la capa de negocio.</w:t>
      </w:r>
    </w:p>
    <w:p w:rsidR="00000000" w:rsidDel="00000000" w:rsidP="00000000" w:rsidRDefault="00000000" w:rsidRPr="00000000" w14:paraId="00000085">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Es invocado desde los controladores antes de pasar datos a los modelos.</w:t>
      </w:r>
    </w:p>
    <w:p w:rsidR="00000000" w:rsidDel="00000000" w:rsidP="00000000" w:rsidRDefault="00000000" w:rsidRPr="00000000" w14:paraId="00000086">
      <w:pPr>
        <w:spacing w:after="80" w:before="80" w:lineRule="auto"/>
        <w:ind w:left="108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Centraliza toda la lógica de validación evitando duplicación de código.</w:t>
      </w:r>
    </w:p>
    <w:p w:rsidR="00000000" w:rsidDel="00000000" w:rsidP="00000000" w:rsidRDefault="00000000" w:rsidRPr="00000000" w14:paraId="00000087">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3.2 Código Fuente</w:t>
      </w:r>
    </w:p>
    <w:p w:rsidR="00000000" w:rsidDel="00000000" w:rsidP="00000000" w:rsidRDefault="00000000" w:rsidRPr="00000000" w14:paraId="00000088">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3060700"/>
            <wp:effectExtent b="0" l="0" r="0" t="0"/>
            <wp:docPr id="14428267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pStyle w:val="Heading2"/>
        <w:keepNext w:val="0"/>
        <w:keepLines w:val="0"/>
        <w:spacing w:after="160" w:before="280" w:lineRule="auto"/>
        <w:jc w:val="both"/>
        <w:rPr>
          <w:rFonts w:ascii="Arial" w:cs="Arial" w:eastAsia="Arial" w:hAnsi="Arial"/>
          <w:sz w:val="24"/>
          <w:szCs w:val="24"/>
        </w:rPr>
      </w:pPr>
      <w:bookmarkStart w:colFirst="0" w:colLast="0" w:name="_heading=h.2t48u62rrqqy" w:id="6"/>
      <w:bookmarkEnd w:id="6"/>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keepNext w:val="0"/>
        <w:keepLines w:val="0"/>
        <w:spacing w:after="160" w:before="280" w:lineRule="auto"/>
        <w:jc w:val="both"/>
        <w:rPr>
          <w:rFonts w:ascii="Arial" w:cs="Arial" w:eastAsia="Arial" w:hAnsi="Arial"/>
          <w:sz w:val="24"/>
          <w:szCs w:val="24"/>
        </w:rPr>
      </w:pPr>
      <w:bookmarkStart w:colFirst="0" w:colLast="0" w:name="_heading=h.utieraz122ri" w:id="7"/>
      <w:bookmarkEnd w:id="7"/>
      <w:r w:rsidDel="00000000" w:rsidR="00000000" w:rsidRPr="00000000">
        <w:rPr>
          <w:rFonts w:ascii="Arial" w:cs="Arial" w:eastAsia="Arial" w:hAnsi="Arial"/>
          <w:sz w:val="24"/>
          <w:szCs w:val="24"/>
          <w:rtl w:val="0"/>
        </w:rPr>
        <w:t xml:space="preserve">3.3 Métodos del Componente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7690120195653"/>
        <w:gridCol w:w="3447.9483323011596"/>
        <w:gridCol w:w="3621.7944667028987"/>
        <w:tblGridChange w:id="0">
          <w:tblGrid>
            <w:gridCol w:w="1955.7690120195653"/>
            <w:gridCol w:w="3447.9483323011596"/>
            <w:gridCol w:w="3621.7944667028987"/>
          </w:tblGrid>
        </w:tblGridChange>
      </w:tblGrid>
      <w:tr>
        <w:trPr>
          <w:cantSplit w:val="0"/>
          <w:trHeight w:val="420" w:hRule="atLeast"/>
          <w:tblHeader w:val="0"/>
        </w:trPr>
        <w:tc>
          <w:tcPr>
            <w:tcBorders>
              <w:top w:color="2e5fa3" w:space="0" w:sz="6" w:val="single"/>
              <w:left w:color="2e5fa3" w:space="0" w:sz="6" w:val="single"/>
              <w:bottom w:color="2e5fa3" w:space="0" w:sz="6" w:val="single"/>
              <w:right w:color="2e5fa3" w:space="0" w:sz="6" w:val="single"/>
            </w:tcBorders>
            <w:shd w:fill="2e5fa3" w:val="clear"/>
            <w:tcMar>
              <w:top w:w="80.0" w:type="dxa"/>
              <w:left w:w="120.0" w:type="dxa"/>
              <w:bottom w:w="80.0" w:type="dxa"/>
              <w:right w:w="100.0" w:type="dxa"/>
            </w:tcMar>
            <w:vAlign w:val="top"/>
          </w:tcPr>
          <w:p w:rsidR="00000000" w:rsidDel="00000000" w:rsidP="00000000" w:rsidRDefault="00000000" w:rsidRPr="00000000" w14:paraId="0000008C">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Método</w:t>
            </w:r>
          </w:p>
        </w:tc>
        <w:tc>
          <w:tcPr>
            <w:tcBorders>
              <w:top w:color="2e5fa3" w:space="0" w:sz="6" w:val="single"/>
              <w:left w:color="000000" w:space="0" w:sz="0" w:val="nil"/>
              <w:bottom w:color="2e5fa3" w:space="0" w:sz="6" w:val="single"/>
              <w:right w:color="2e5fa3" w:space="0" w:sz="6" w:val="single"/>
            </w:tcBorders>
            <w:shd w:fill="2e5fa3" w:val="clear"/>
            <w:tcMar>
              <w:top w:w="80.0" w:type="dxa"/>
              <w:left w:w="120.0" w:type="dxa"/>
              <w:bottom w:w="80.0" w:type="dxa"/>
              <w:right w:w="100.0" w:type="dxa"/>
            </w:tcMar>
            <w:vAlign w:val="top"/>
          </w:tcPr>
          <w:p w:rsidR="00000000" w:rsidDel="00000000" w:rsidP="00000000" w:rsidRDefault="00000000" w:rsidRPr="00000000" w14:paraId="0000008D">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Filtro PHP</w:t>
            </w:r>
          </w:p>
        </w:tc>
        <w:tc>
          <w:tcPr>
            <w:tcBorders>
              <w:top w:color="2e5fa3" w:space="0" w:sz="6" w:val="single"/>
              <w:left w:color="000000" w:space="0" w:sz="0" w:val="nil"/>
              <w:bottom w:color="2e5fa3" w:space="0" w:sz="6" w:val="single"/>
              <w:right w:color="2e5fa3" w:space="0" w:sz="6" w:val="single"/>
            </w:tcBorders>
            <w:shd w:fill="2e5fa3" w:val="clear"/>
            <w:tcMar>
              <w:top w:w="80.0" w:type="dxa"/>
              <w:left w:w="120.0" w:type="dxa"/>
              <w:bottom w:w="80.0" w:type="dxa"/>
              <w:right w:w="100.0" w:type="dxa"/>
            </w:tcMar>
            <w:vAlign w:val="top"/>
          </w:tcPr>
          <w:p w:rsidR="00000000" w:rsidDel="00000000" w:rsidP="00000000" w:rsidRDefault="00000000" w:rsidRPr="00000000" w14:paraId="0000008E">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Descripción</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8F">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texto()</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0">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FILTER_SANITIZE_SPECIAL_CHARS</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1">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 nombres, descripciones y campos de texto libre.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2">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entero()</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3">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FILTER_VALIDATE_INT</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4">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 cantidades, stock, IDs numéricos.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5">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decimal()</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6">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FILTER_VALIDATE_FLOAT</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7">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 precios, montos de ventas y créditos.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8">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email()</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9">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FILTER_VALIDATE_EMAIL</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A">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 correos de clientes y usuarios del sistema.</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B">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telefono()</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C">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preg_match — regex</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9D">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 números celulares colombianos (10 dígitos, inicio 3).</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E">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tipoVenta()</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9F">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in_array() estricto</w:t>
            </w:r>
          </w:p>
        </w:tc>
        <w:tc>
          <w:tcPr>
            <w:tcBorders>
              <w:top w:color="000000" w:space="0" w:sz="0" w:val="nil"/>
              <w:left w:color="000000" w:space="0" w:sz="0" w:val="nil"/>
              <w:bottom w:color="bfbfbf" w:space="0" w:sz="6" w:val="single"/>
              <w:right w:color="bfbfbf" w:space="0" w:sz="6" w:val="single"/>
            </w:tcBorders>
            <w:shd w:fill="f2f2f2" w:val="clear"/>
            <w:tcMar>
              <w:top w:w="80.0" w:type="dxa"/>
              <w:left w:w="120.0" w:type="dxa"/>
              <w:bottom w:w="80.0" w:type="dxa"/>
              <w:right w:w="100.0" w:type="dxa"/>
            </w:tcMar>
            <w:vAlign w:val="top"/>
          </w:tcPr>
          <w:p w:rsidR="00000000" w:rsidDel="00000000" w:rsidP="00000000" w:rsidRDefault="00000000" w:rsidRPr="00000000" w14:paraId="000000A0">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Restringe el tipo de venta a valores permitidos definidos.</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A1">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sinInyeccion()</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A2">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stripos() — lista negra</w:t>
            </w:r>
          </w:p>
        </w:tc>
        <w:tc>
          <w:tcPr>
            <w:tcBorders>
              <w:top w:color="000000" w:space="0" w:sz="0" w:val="nil"/>
              <w:left w:color="000000" w:space="0" w:sz="0" w:val="nil"/>
              <w:bottom w:color="bfbfbf" w:space="0" w:sz="6" w:val="single"/>
              <w:right w:color="bfbfbf" w:space="0" w:sz="6" w:val="single"/>
            </w:tcBorders>
            <w:shd w:fill="ffffff" w:val="clear"/>
            <w:tcMar>
              <w:top w:w="80.0" w:type="dxa"/>
              <w:left w:w="120.0" w:type="dxa"/>
              <w:bottom w:w="80.0" w:type="dxa"/>
              <w:right w:w="100.0" w:type="dxa"/>
            </w:tcMar>
            <w:vAlign w:val="top"/>
          </w:tcPr>
          <w:p w:rsidR="00000000" w:rsidDel="00000000" w:rsidP="00000000" w:rsidRDefault="00000000" w:rsidRPr="00000000" w14:paraId="000000A3">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Detecta patrones peligrosos de SQL Injection.</w:t>
            </w:r>
          </w:p>
        </w:tc>
      </w:tr>
    </w:tbl>
    <w:p w:rsidR="00000000" w:rsidDel="00000000" w:rsidP="00000000" w:rsidRDefault="00000000" w:rsidRPr="00000000" w14:paraId="000000A4">
      <w:pPr>
        <w:spacing w:after="240" w:befor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4: Consolidación del Dossier Arquitectónico </w:t>
      </w:r>
    </w:p>
    <w:p w:rsidR="00000000" w:rsidDel="00000000" w:rsidP="00000000" w:rsidRDefault="00000000" w:rsidRPr="00000000" w14:paraId="000000A6">
      <w:pPr>
        <w:spacing w:after="120" w:before="120" w:lineRule="auto"/>
        <w:jc w:val="both"/>
        <w:rPr>
          <w:rFonts w:ascii="Arial" w:cs="Arial" w:eastAsia="Arial" w:hAnsi="Arial"/>
          <w:b w:val="1"/>
          <w:bCs w:val="1"/>
        </w:rPr>
      </w:pPr>
      <w:r w:rsidDel="00000000" w:rsidR="00000000" w:rsidRPr="00000000">
        <w:rPr>
          <w:rFonts w:ascii="Arial" w:cs="Arial" w:eastAsia="Arial" w:hAnsi="Arial"/>
          <w:rtl w:val="0"/>
        </w:rPr>
        <w:t xml:space="preserve">Se organiza de forma sistemática toda la documentación técnica generada durante el semestre. Este dossier constituye el portafolio técnico completo del proyecto GoApple y será el insumo principal para la sustentación presencial.</w:t>
      </w:r>
      <w:r w:rsidDel="00000000" w:rsidR="00000000" w:rsidRPr="00000000">
        <w:rPr>
          <w:rtl w:val="0"/>
        </w:rPr>
      </w:r>
    </w:p>
    <w:p w:rsidR="00000000" w:rsidDel="00000000" w:rsidP="00000000" w:rsidRDefault="00000000" w:rsidRPr="00000000" w14:paraId="000000A7">
      <w:pPr>
        <w:pStyle w:val="Heading2"/>
        <w:keepNext w:val="0"/>
        <w:keepLines w:val="0"/>
        <w:spacing w:after="160" w:before="280" w:lineRule="auto"/>
        <w:jc w:val="both"/>
        <w:rPr>
          <w:rFonts w:ascii="Arial" w:cs="Arial" w:eastAsia="Arial" w:hAnsi="Arial"/>
          <w:sz w:val="24"/>
          <w:szCs w:val="24"/>
        </w:rPr>
      </w:pPr>
      <w:bookmarkStart w:colFirst="0" w:colLast="0" w:name="_heading=h.e4k4zxbcc51e" w:id="8"/>
      <w:bookmarkEnd w:id="8"/>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keepNext w:val="0"/>
        <w:keepLines w:val="0"/>
        <w:spacing w:after="160" w:before="280" w:lineRule="auto"/>
        <w:jc w:val="both"/>
        <w:rPr>
          <w:rFonts w:ascii="Arial" w:cs="Arial" w:eastAsia="Arial" w:hAnsi="Arial"/>
          <w:sz w:val="24"/>
          <w:szCs w:val="24"/>
        </w:rPr>
      </w:pPr>
      <w:bookmarkStart w:colFirst="0" w:colLast="0" w:name="_heading=h.hhcgmbbxxhd1" w:id="9"/>
      <w:bookmarkEnd w:id="9"/>
      <w:r w:rsidDel="00000000" w:rsidR="00000000" w:rsidRPr="00000000">
        <w:rPr>
          <w:rFonts w:ascii="Arial" w:cs="Arial" w:eastAsia="Arial" w:hAnsi="Arial"/>
          <w:sz w:val="24"/>
          <w:szCs w:val="24"/>
          <w:rtl w:val="0"/>
        </w:rPr>
        <w:t xml:space="preserve">4.1 Índice del Portafolio Técnico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9230040065218"/>
        <w:gridCol w:w="1897.8203005523187"/>
        <w:gridCol w:w="3723.2047117705797"/>
        <w:gridCol w:w="2752.5637946942024"/>
        <w:tblGridChange w:id="0">
          <w:tblGrid>
            <w:gridCol w:w="651.9230040065218"/>
            <w:gridCol w:w="1897.8203005523187"/>
            <w:gridCol w:w="3723.2047117705797"/>
            <w:gridCol w:w="2752.5637946942024"/>
          </w:tblGrid>
        </w:tblGridChange>
      </w:tblGrid>
      <w:tr>
        <w:trPr>
          <w:cantSplit w:val="0"/>
          <w:trHeight w:val="420" w:hRule="atLeast"/>
          <w:tblHeader w:val="0"/>
        </w:trPr>
        <w:tc>
          <w:tcPr>
            <w:tcBorders>
              <w:top w:color="1f3864" w:space="0" w:sz="6" w:val="single"/>
              <w:left w:color="1f3864" w:space="0" w:sz="6" w:val="single"/>
              <w:bottom w:color="1f3864" w:space="0" w:sz="6" w:val="single"/>
              <w:right w:color="1f3864" w:space="0" w:sz="6" w:val="single"/>
            </w:tcBorders>
            <w:shd w:fill="1f3864" w:val="clear"/>
            <w:tcMar>
              <w:top w:w="80.0" w:type="dxa"/>
              <w:left w:w="100.0" w:type="dxa"/>
              <w:bottom w:w="80.0" w:type="dxa"/>
              <w:right w:w="80.0" w:type="dxa"/>
            </w:tcMar>
            <w:vAlign w:val="top"/>
          </w:tcPr>
          <w:p w:rsidR="00000000" w:rsidDel="00000000" w:rsidP="00000000" w:rsidRDefault="00000000" w:rsidRPr="00000000" w14:paraId="000000A9">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N°</w:t>
            </w:r>
          </w:p>
        </w:tc>
        <w:tc>
          <w:tcPr>
            <w:tcBorders>
              <w:top w:color="1f3864" w:space="0" w:sz="6" w:val="single"/>
              <w:left w:color="000000" w:space="0" w:sz="0" w:val="nil"/>
              <w:bottom w:color="1f3864" w:space="0" w:sz="6" w:val="single"/>
              <w:right w:color="1f3864" w:space="0" w:sz="6" w:val="single"/>
            </w:tcBorders>
            <w:shd w:fill="1f3864" w:val="clear"/>
            <w:tcMar>
              <w:top w:w="80.0" w:type="dxa"/>
              <w:left w:w="100.0" w:type="dxa"/>
              <w:bottom w:w="80.0" w:type="dxa"/>
              <w:right w:w="80.0" w:type="dxa"/>
            </w:tcMar>
            <w:vAlign w:val="top"/>
          </w:tcPr>
          <w:p w:rsidR="00000000" w:rsidDel="00000000" w:rsidP="00000000" w:rsidRDefault="00000000" w:rsidRPr="00000000" w14:paraId="000000AA">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Sección</w:t>
            </w:r>
          </w:p>
        </w:tc>
        <w:tc>
          <w:tcPr>
            <w:tcBorders>
              <w:top w:color="1f3864" w:space="0" w:sz="6" w:val="single"/>
              <w:left w:color="000000" w:space="0" w:sz="0" w:val="nil"/>
              <w:bottom w:color="1f3864" w:space="0" w:sz="6" w:val="single"/>
              <w:right w:color="1f3864" w:space="0" w:sz="6" w:val="single"/>
            </w:tcBorders>
            <w:shd w:fill="1f3864" w:val="clear"/>
            <w:tcMar>
              <w:top w:w="80.0" w:type="dxa"/>
              <w:left w:w="100.0" w:type="dxa"/>
              <w:bottom w:w="80.0" w:type="dxa"/>
              <w:right w:w="80.0" w:type="dxa"/>
            </w:tcMar>
            <w:vAlign w:val="top"/>
          </w:tcPr>
          <w:p w:rsidR="00000000" w:rsidDel="00000000" w:rsidP="00000000" w:rsidRDefault="00000000" w:rsidRPr="00000000" w14:paraId="000000AB">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Descripción</w:t>
            </w:r>
          </w:p>
        </w:tc>
        <w:tc>
          <w:tcPr>
            <w:tcBorders>
              <w:top w:color="1f3864" w:space="0" w:sz="6" w:val="single"/>
              <w:left w:color="000000" w:space="0" w:sz="0" w:val="nil"/>
              <w:bottom w:color="1f3864" w:space="0" w:sz="6" w:val="single"/>
              <w:right w:color="1f3864" w:space="0" w:sz="6" w:val="single"/>
            </w:tcBorders>
            <w:shd w:fill="1f3864" w:val="clear"/>
            <w:tcMar>
              <w:top w:w="80.0" w:type="dxa"/>
              <w:left w:w="100.0" w:type="dxa"/>
              <w:bottom w:w="80.0" w:type="dxa"/>
              <w:right w:w="80.0" w:type="dxa"/>
            </w:tcMar>
            <w:vAlign w:val="top"/>
          </w:tcPr>
          <w:p w:rsidR="00000000" w:rsidDel="00000000" w:rsidP="00000000" w:rsidRDefault="00000000" w:rsidRPr="00000000" w14:paraId="000000AC">
            <w:pPr>
              <w:spacing w:after="240" w:befor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Archivo</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D">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E">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Guía Práctica N°1</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AF">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Planteamiento del proyecto, arquitectura conceptual y física, patrones de diseño MVC</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0">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Guia_N1_GoApple.docx</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1">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2">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Guía Práctica N°2</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3">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Entrenamiento PHP, retos de variables, operadores y lógica condicional</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4">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Guia_N2_GoApple.docx</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5">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6">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Guía Práctica N°3</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7">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 de comunicación, interoperabilidad, APIs externas, Git/GitHub, simulación JSON</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8">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Guia_N3_GoApple.docx</w:t>
            </w:r>
          </w:p>
        </w:tc>
      </w:tr>
      <w:tr>
        <w:trPr>
          <w:cantSplit w:val="0"/>
          <w:trHeight w:val="93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9">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A">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Guía Práctica N°4</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B">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Matriz de Atributos de Calidad, análisis Costo de Cambio, Validator.php, dossier técnico</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BC">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Guia_N4_GoApple.docx</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D">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E">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 de Comunicación</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BF">
            <w:pPr>
              <w:spacing w:after="40" w:before="40" w:lineRule="auto"/>
              <w:jc w:val="both"/>
              <w:rPr>
                <w:rFonts w:ascii="Arial" w:cs="Arial" w:eastAsia="Arial" w:hAnsi="Arial"/>
                <w:b w:val="1"/>
                <w:bCs w:val="1"/>
                <w:sz w:val="20"/>
                <w:szCs w:val="20"/>
              </w:rPr>
            </w:pPr>
            <w:sdt>
              <w:sdtPr>
                <w:id w:val="-289807615"/>
                <w:tag w:val="goog_rdk_11"/>
              </w:sdtPr>
              <w:sdtContent>
                <w:r w:rsidDel="00000000" w:rsidR="00000000" w:rsidRPr="00000000">
                  <w:rPr>
                    <w:rFonts w:ascii="Arial Unicode MS" w:cs="Arial Unicode MS" w:eastAsia="Arial Unicode MS" w:hAnsi="Arial Unicode MS"/>
                    <w:b w:val="1"/>
                    <w:bCs w:val="1"/>
                    <w:sz w:val="20"/>
                    <w:szCs w:val="20"/>
                    <w:rtl w:val="0"/>
                  </w:rPr>
                  <w:t xml:space="preserve">Representación visual de capas: Presentación → Negocio → Datos → APIs externas</w:t>
                </w:r>
              </w:sdtContent>
            </w:sdt>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0">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Diagrama_Comunicacion.png</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1">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2">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Estructura de Directorios</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3">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Árbol físico del proyecto GoApple con descripción de responsabilidad de cada capa</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4">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Estructura_Fisica.png</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5">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6">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 Fuente — Validator.php</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7">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Componente de validación técnica en /app/Core/. Capturas en VS Code</w:t>
            </w:r>
          </w:p>
        </w:tc>
        <w:tc>
          <w:tcPr>
            <w:tcBorders>
              <w:top w:color="000000" w:space="0" w:sz="0" w:val="nil"/>
              <w:left w:color="000000" w:space="0" w:sz="0" w:val="nil"/>
              <w:bottom w:color="bfbfbf" w:space="0" w:sz="6" w:val="single"/>
              <w:right w:color="bfbfbf" w:space="0" w:sz="6" w:val="single"/>
            </w:tcBorders>
            <w:shd w:fill="ffffff" w:val="clear"/>
            <w:tcMar>
              <w:top w:w="80.0" w:type="dxa"/>
              <w:left w:w="100.0" w:type="dxa"/>
              <w:bottom w:w="80.0" w:type="dxa"/>
              <w:right w:w="80.0" w:type="dxa"/>
            </w:tcMar>
            <w:vAlign w:val="top"/>
          </w:tcPr>
          <w:p w:rsidR="00000000" w:rsidDel="00000000" w:rsidP="00000000" w:rsidRDefault="00000000" w:rsidRPr="00000000" w14:paraId="000000C8">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Validator_VSCode.png</w:t>
            </w:r>
          </w:p>
        </w:tc>
      </w:tr>
      <w:tr>
        <w:trPr>
          <w:cantSplit w:val="0"/>
          <w:trHeight w:val="690" w:hRule="atLeast"/>
          <w:tblHeader w:val="0"/>
        </w:trPr>
        <w:tc>
          <w:tcPr>
            <w:tcBorders>
              <w:top w:color="000000" w:space="0" w:sz="0" w:val="nil"/>
              <w:left w:color="bfbfbf" w:space="0" w:sz="6" w:val="single"/>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9">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A">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Base de Datos</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B">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Script SQL con tablas: productos, clientes, ventas, detalle_venta, usuarios, creditos</w:t>
            </w:r>
          </w:p>
        </w:tc>
        <w:tc>
          <w:tcPr>
            <w:tcBorders>
              <w:top w:color="000000" w:space="0" w:sz="0" w:val="nil"/>
              <w:left w:color="000000" w:space="0" w:sz="0" w:val="nil"/>
              <w:bottom w:color="bfbfbf" w:space="0" w:sz="6" w:val="single"/>
              <w:right w:color="bfbfbf" w:space="0" w:sz="6" w:val="single"/>
            </w:tcBorders>
            <w:shd w:fill="f2f2f2" w:val="clear"/>
            <w:tcMar>
              <w:top w:w="80.0" w:type="dxa"/>
              <w:left w:w="100.0" w:type="dxa"/>
              <w:bottom w:w="80.0" w:type="dxa"/>
              <w:right w:w="80.0" w:type="dxa"/>
            </w:tcMar>
            <w:vAlign w:val="top"/>
          </w:tcPr>
          <w:p w:rsidR="00000000" w:rsidDel="00000000" w:rsidP="00000000" w:rsidRDefault="00000000" w:rsidRPr="00000000" w14:paraId="000000CC">
            <w:pPr>
              <w:spacing w:after="40" w:before="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database.sql</w:t>
            </w:r>
          </w:p>
        </w:tc>
      </w:tr>
    </w:tbl>
    <w:p w:rsidR="00000000" w:rsidDel="00000000" w:rsidP="00000000" w:rsidRDefault="00000000" w:rsidRPr="00000000" w14:paraId="000000CD">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C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jc w:val="both"/>
        <w:rPr>
          <w:rFonts w:ascii="Arial" w:cs="Arial" w:eastAsia="Arial" w:hAnsi="Arial"/>
          <w:b w:val="1"/>
          <w:bCs w:val="1"/>
        </w:rPr>
      </w:pPr>
      <w:r w:rsidDel="00000000" w:rsidR="00000000" w:rsidRPr="00000000">
        <w:rPr>
          <w:rtl w:val="0"/>
        </w:rPr>
      </w:r>
    </w:p>
    <w:sectPr>
      <w:head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2C7B7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zBqtRAPeu8INswMnvWqJtGCw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ocHVxNG42MGphOG0yDmgueDE2NWlmc3cxYnNnMg5oLnQyNWsybnhkdjYxcDIOaC5vbGtkejdycDFuYmUyDmguMjdoand1Z2pmcGxqMg5oLmtmdGYwcTRqNGoybDIOaC4ydDQ4dTYycnJxcXkyDmgudXRpZXJhejEyMnJpMg5oLmU0azR6eGJjYzUxZTIOaC5oaGNnbWJieHhoZDE4AHIhMWlhVXltT1gzVDN5R0VraVZGTGNoUmtqeGppLXRIbW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2026-02-23T14:45:00Z</dcterms:created>
  <dc:creator>James Quintero</dc:creator>
</cp:coreProperties>
</file>