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Arial" w:cs="Arial" w:eastAsia="Arial" w:hAnsi="Arial"/>
          <w:color w:val="212529"/>
          <w:rtl w:val="0"/>
        </w:rPr>
        <w:t xml:space="preserve">GUÍA PRÁCTICA N°. 7: INTEGRACIÓN DE WEB SERVICES Y DIAGRAMACIÓN ESTRUCTURAL  </w:t>
      </w:r>
      <w:r w:rsidDel="00000000" w:rsidR="00000000" w:rsidRPr="00000000">
        <w:rPr>
          <w:rtl w:val="0"/>
        </w:rPr>
        <w:br w:type="textWrapping"/>
      </w:r>
      <w:r w:rsidDel="00000000" w:rsidR="00000000" w:rsidRPr="00000000">
        <w:rPr>
          <w:rFonts w:ascii="Arial" w:cs="Arial" w:eastAsia="Arial" w:hAnsi="Arial"/>
          <w:rtl w:val="0"/>
        </w:rPr>
        <w:t xml:space="preserve"> </w:t>
      </w: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2">
      <w:pPr>
        <w:spacing w:after="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JAMES QUINTERO MOSQUERA</w:t>
      </w:r>
    </w:p>
    <w:p w:rsidR="00000000" w:rsidDel="00000000" w:rsidP="00000000" w:rsidRDefault="00000000" w:rsidRPr="00000000" w14:paraId="00000003">
      <w:pPr>
        <w:spacing w:after="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Arial" w:cs="Arial" w:eastAsia="Arial" w:hAnsi="Arial"/>
          <w:color w:val="000000"/>
          <w:rtl w:val="0"/>
        </w:rPr>
        <w:t xml:space="preserve">GIORGI </w:t>
      </w:r>
      <w:r w:rsidDel="00000000" w:rsidR="00000000" w:rsidRPr="00000000">
        <w:rPr>
          <w:rFonts w:ascii="Arial" w:cs="Arial" w:eastAsia="Arial" w:hAnsi="Arial"/>
          <w:rtl w:val="0"/>
        </w:rPr>
        <w:t xml:space="preserve">JULIÁN</w:t>
      </w:r>
      <w:r w:rsidDel="00000000" w:rsidR="00000000" w:rsidRPr="00000000">
        <w:rPr>
          <w:rFonts w:ascii="Arial" w:cs="Arial" w:eastAsia="Arial" w:hAnsi="Arial"/>
          <w:color w:val="000000"/>
          <w:rtl w:val="0"/>
        </w:rPr>
        <w:t xml:space="preserve"> ORDOÑEZ</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Fonts w:ascii="Arial" w:cs="Arial" w:eastAsia="Arial" w:hAnsi="Arial"/>
          <w:color w:val="000000"/>
          <w:rtl w:val="0"/>
        </w:rPr>
        <w:t xml:space="preserve">ING. ROBINSON GOMEZ</w:t>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Fonts w:ascii="Arial" w:cs="Arial" w:eastAsia="Arial" w:hAnsi="Arial"/>
          <w:color w:val="000000"/>
          <w:rtl w:val="0"/>
        </w:rPr>
        <w:t xml:space="preserve">FUNDACIÓN DE ESTUDIOS SUPERIORES FESC</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4">
      <w:pPr>
        <w:spacing w:after="240" w:lineRule="auto"/>
        <w:jc w:val="center"/>
        <w:rPr/>
      </w:pPr>
      <w:r w:rsidDel="00000000" w:rsidR="00000000" w:rsidRPr="00000000">
        <w:rPr>
          <w:rFonts w:ascii="Arial" w:cs="Arial" w:eastAsia="Arial" w:hAnsi="Arial"/>
          <w:color w:val="212529"/>
          <w:rtl w:val="0"/>
        </w:rPr>
        <w:t xml:space="preserve">ARQUITECTURA Y DISEÑO DE SOFTWARE</w:t>
      </w: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Fonts w:ascii="Arial" w:cs="Arial" w:eastAsia="Arial" w:hAnsi="Arial"/>
          <w:color w:val="000000"/>
          <w:rtl w:val="0"/>
        </w:rPr>
        <w:t xml:space="preserve">SAN JOSE DE CUCUTA</w:t>
      </w: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240" w:line="240" w:lineRule="auto"/>
        <w:jc w:val="center"/>
        <w:rPr>
          <w:rFonts w:ascii="Arial" w:cs="Arial" w:eastAsia="Arial" w:hAnsi="Arial"/>
          <w:color w:val="000000"/>
        </w:rPr>
      </w:pPr>
      <w:r w:rsidDel="00000000" w:rsidR="00000000" w:rsidRPr="00000000">
        <w:rPr>
          <w:rFonts w:ascii="Arial" w:cs="Arial" w:eastAsia="Arial" w:hAnsi="Arial"/>
          <w:rtl w:val="0"/>
        </w:rPr>
        <w:t xml:space="preserve">21</w:t>
      </w:r>
      <w:r w:rsidDel="00000000" w:rsidR="00000000" w:rsidRPr="00000000">
        <w:rPr>
          <w:rFonts w:ascii="Arial" w:cs="Arial" w:eastAsia="Arial" w:hAnsi="Arial"/>
          <w:color w:val="000000"/>
          <w:rtl w:val="0"/>
        </w:rPr>
        <w:t xml:space="preserve"> DE </w:t>
      </w:r>
      <w:r w:rsidDel="00000000" w:rsidR="00000000" w:rsidRPr="00000000">
        <w:rPr>
          <w:rFonts w:ascii="Arial" w:cs="Arial" w:eastAsia="Arial" w:hAnsi="Arial"/>
          <w:rtl w:val="0"/>
        </w:rPr>
        <w:t xml:space="preserve">ABRIL </w:t>
      </w:r>
      <w:r w:rsidDel="00000000" w:rsidR="00000000" w:rsidRPr="00000000">
        <w:rPr>
          <w:rFonts w:ascii="Arial" w:cs="Arial" w:eastAsia="Arial" w:hAnsi="Arial"/>
          <w:color w:val="000000"/>
          <w:rtl w:val="0"/>
        </w:rPr>
        <w:t xml:space="preserve">DE 2026</w:t>
      </w:r>
    </w:p>
    <w:p w:rsidR="00000000" w:rsidDel="00000000" w:rsidP="00000000" w:rsidRDefault="00000000" w:rsidRPr="00000000" w14:paraId="00000018">
      <w:pPr>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Actividad 1: Consumo de Servicios Externos (Web Services) </w:t>
      </w:r>
    </w:p>
    <w:p w:rsidR="00000000" w:rsidDel="00000000" w:rsidP="00000000" w:rsidRDefault="00000000" w:rsidRPr="00000000" w14:paraId="0000001A">
      <w:pPr>
        <w:spacing w:line="259" w:lineRule="auto"/>
        <w:rPr>
          <w:rFonts w:ascii="Arial" w:cs="Arial" w:eastAsia="Arial" w:hAnsi="Arial"/>
        </w:rPr>
      </w:pPr>
      <w:r w:rsidDel="00000000" w:rsidR="00000000" w:rsidRPr="00000000">
        <w:rPr>
          <w:rFonts w:ascii="Arial" w:cs="Arial" w:eastAsia="Arial" w:hAnsi="Arial"/>
          <w:rtl w:val="0"/>
        </w:rPr>
        <w:t xml:space="preserve">El estudiante debe integrar a su arquitectura un componente capaz de interactuar con servicios web (REST/SOAP). Utilizando la biblioteca nativa cURL de PHP o la extensión file_get_contents, debe: </w:t>
      </w:r>
    </w:p>
    <w:p w:rsidR="00000000" w:rsidDel="00000000" w:rsidP="00000000" w:rsidRDefault="00000000" w:rsidRPr="00000000" w14:paraId="0000001B">
      <w:pPr>
        <w:spacing w:line="259" w:lineRule="auto"/>
        <w:rPr>
          <w:rFonts w:ascii="Arial" w:cs="Arial" w:eastAsia="Arial" w:hAnsi="Arial"/>
        </w:rPr>
      </w:pPr>
      <w:r w:rsidDel="00000000" w:rsidR="00000000" w:rsidRPr="00000000">
        <w:rPr>
          <w:rFonts w:ascii="Arial" w:cs="Arial" w:eastAsia="Arial" w:hAnsi="Arial"/>
          <w:rtl w:val="0"/>
        </w:rPr>
        <w:t xml:space="preserve">• Implementar un cliente que realice peticiones GET o POST hacia un proveedor de datos externo. </w:t>
      </w:r>
    </w:p>
    <w:p w:rsidR="00000000" w:rsidDel="00000000" w:rsidP="00000000" w:rsidRDefault="00000000" w:rsidRPr="00000000" w14:paraId="0000001C">
      <w:pPr>
        <w:spacing w:line="259" w:lineRule="auto"/>
        <w:rPr>
          <w:rFonts w:ascii="Arial" w:cs="Arial" w:eastAsia="Arial" w:hAnsi="Arial"/>
        </w:rPr>
      </w:pPr>
      <w:r w:rsidDel="00000000" w:rsidR="00000000" w:rsidRPr="00000000">
        <w:rPr>
          <w:rFonts w:ascii="Arial" w:cs="Arial" w:eastAsia="Arial" w:hAnsi="Arial"/>
          <w:rtl w:val="0"/>
        </w:rPr>
        <w:t xml:space="preserve">• Gestionar la respuesta del servicio (Header y Body) y mapear los datos JSON recibidos hacia los objetos de negocio creados en la Guía 6. </w:t>
      </w:r>
    </w:p>
    <w:p w:rsidR="00000000" w:rsidDel="00000000" w:rsidP="00000000" w:rsidRDefault="00000000" w:rsidRPr="00000000" w14:paraId="0000001D">
      <w:pPr>
        <w:spacing w:line="259" w:lineRule="auto"/>
        <w:rPr>
          <w:rFonts w:ascii="Arial" w:cs="Arial" w:eastAsia="Arial" w:hAnsi="Arial"/>
        </w:rPr>
      </w:pPr>
      <w:r w:rsidDel="00000000" w:rsidR="00000000" w:rsidRPr="00000000">
        <w:rPr>
          <w:rFonts w:ascii="Arial" w:cs="Arial" w:eastAsia="Arial" w:hAnsi="Arial"/>
          <w:rtl w:val="0"/>
        </w:rPr>
        <w:t xml:space="preserve">• Documentar el manejo de errores en la conexión (timeouts o códigos 404/500). </w:t>
      </w:r>
    </w:p>
    <w:p w:rsidR="00000000" w:rsidDel="00000000" w:rsidP="00000000" w:rsidRDefault="00000000" w:rsidRPr="00000000" w14:paraId="0000001E">
      <w:pPr>
        <w:spacing w:line="259"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31200" cy="3060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59"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31200" cy="3060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59" w:lineRule="auto"/>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2: Refinamiento de la Persistencia Externa </w:t>
      </w:r>
    </w:p>
    <w:p w:rsidR="00000000" w:rsidDel="00000000" w:rsidP="00000000" w:rsidRDefault="00000000" w:rsidRPr="00000000" w14:paraId="00000022">
      <w:pPr>
        <w:spacing w:line="259" w:lineRule="auto"/>
        <w:jc w:val="both"/>
        <w:rPr>
          <w:rFonts w:ascii="Arial" w:cs="Arial" w:eastAsia="Arial" w:hAnsi="Arial"/>
        </w:rPr>
      </w:pPr>
      <w:r w:rsidDel="00000000" w:rsidR="00000000" w:rsidRPr="00000000">
        <w:rPr>
          <w:rFonts w:ascii="Arial" w:cs="Arial" w:eastAsia="Arial" w:hAnsi="Arial"/>
          <w:rtl w:val="0"/>
        </w:rPr>
        <w:t xml:space="preserve">Se debe demostrar cómo los datos obtenidos del Web Service pueden persistir en el esquema de MySQL desarrollado previamente. El estudiante debe garantizar que la "Capa de Datos" soporte la inserción masiva o actualización de registros provenientes del servicio externo, manteniendo la integridad referencial. </w:t>
      </w:r>
    </w:p>
    <w:p w:rsidR="00000000" w:rsidDel="00000000" w:rsidP="00000000" w:rsidRDefault="00000000" w:rsidRPr="00000000" w14:paraId="00000023">
      <w:pPr>
        <w:spacing w:line="259"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31369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59"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30607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259" w:lineRule="auto"/>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3: Modelado Estructural Final (Diagrama de Clases) </w:t>
      </w:r>
    </w:p>
    <w:p w:rsidR="00000000" w:rsidDel="00000000" w:rsidP="00000000" w:rsidRDefault="00000000" w:rsidRPr="00000000" w14:paraId="00000027">
      <w:pPr>
        <w:spacing w:line="259" w:lineRule="auto"/>
        <w:jc w:val="both"/>
        <w:rPr>
          <w:rFonts w:ascii="Arial" w:cs="Arial" w:eastAsia="Arial" w:hAnsi="Arial"/>
        </w:rPr>
      </w:pPr>
      <w:r w:rsidDel="00000000" w:rsidR="00000000" w:rsidRPr="00000000">
        <w:rPr>
          <w:rFonts w:ascii="Arial" w:cs="Arial" w:eastAsia="Arial" w:hAnsi="Arial"/>
          <w:rtl w:val="0"/>
        </w:rPr>
        <w:t xml:space="preserve">Utilizando estándares UML, el estudiante debe elaborar el diagrama de clases definitivo de la solución. Este debe incluir: </w:t>
      </w:r>
    </w:p>
    <w:p w:rsidR="00000000" w:rsidDel="00000000" w:rsidP="00000000" w:rsidRDefault="00000000" w:rsidRPr="00000000" w14:paraId="00000028">
      <w:pPr>
        <w:spacing w:line="259" w:lineRule="auto"/>
        <w:jc w:val="both"/>
        <w:rPr>
          <w:rFonts w:ascii="Arial" w:cs="Arial" w:eastAsia="Arial" w:hAnsi="Arial"/>
        </w:rPr>
      </w:pPr>
      <w:r w:rsidDel="00000000" w:rsidR="00000000" w:rsidRPr="00000000">
        <w:rPr>
          <w:rFonts w:ascii="Arial" w:cs="Arial" w:eastAsia="Arial" w:hAnsi="Arial"/>
          <w:rtl w:val="0"/>
        </w:rPr>
        <w:t xml:space="preserve">• Relaciones de Dependencia y Asociación: Vínculos entre las clases controladoras, de negocio y los componentes de datos. </w:t>
      </w:r>
    </w:p>
    <w:p w:rsidR="00000000" w:rsidDel="00000000" w:rsidP="00000000" w:rsidRDefault="00000000" w:rsidRPr="00000000" w14:paraId="00000029">
      <w:pPr>
        <w:spacing w:line="259" w:lineRule="auto"/>
        <w:jc w:val="both"/>
        <w:rPr>
          <w:rFonts w:ascii="Arial" w:cs="Arial" w:eastAsia="Arial" w:hAnsi="Arial"/>
        </w:rPr>
      </w:pPr>
      <w:r w:rsidDel="00000000" w:rsidR="00000000" w:rsidRPr="00000000">
        <w:rPr>
          <w:rFonts w:ascii="Arial" w:cs="Arial" w:eastAsia="Arial" w:hAnsi="Arial"/>
          <w:rtl w:val="0"/>
        </w:rPr>
        <w:t xml:space="preserve">• Implementación de Patrones: Identificación visual de los patrones (Singleton, Factory, etc.) aplicados en las guías anteriores. </w:t>
      </w:r>
    </w:p>
    <w:p w:rsidR="00000000" w:rsidDel="00000000" w:rsidP="00000000" w:rsidRDefault="00000000" w:rsidRPr="00000000" w14:paraId="0000002A">
      <w:pPr>
        <w:spacing w:line="259" w:lineRule="auto"/>
        <w:jc w:val="both"/>
        <w:rPr>
          <w:rFonts w:ascii="Arial" w:cs="Arial" w:eastAsia="Arial" w:hAnsi="Arial"/>
        </w:rPr>
      </w:pPr>
      <w:r w:rsidDel="00000000" w:rsidR="00000000" w:rsidRPr="00000000">
        <w:rPr>
          <w:rFonts w:ascii="Arial" w:cs="Arial" w:eastAsia="Arial" w:hAnsi="Arial"/>
          <w:rtl w:val="0"/>
        </w:rPr>
        <w:t xml:space="preserve">• Interfaces de Servicio: Representación de los métodos que exponen o consumen servicios externos. </w:t>
      </w:r>
    </w:p>
    <w:p w:rsidR="00000000" w:rsidDel="00000000" w:rsidP="00000000" w:rsidRDefault="00000000" w:rsidRPr="00000000" w14:paraId="0000002B">
      <w:pPr>
        <w:spacing w:line="259"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31200" cy="55499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59" w:lineRule="auto"/>
        <w:jc w:val="both"/>
        <w:rPr>
          <w:rFonts w:ascii="Arial" w:cs="Arial" w:eastAsia="Arial" w:hAnsi="Arial"/>
        </w:rPr>
      </w:pPr>
      <w:r w:rsidDel="00000000" w:rsidR="00000000" w:rsidRPr="00000000">
        <w:rPr>
          <w:rFonts w:ascii="Arial" w:cs="Arial" w:eastAsia="Arial" w:hAnsi="Arial"/>
          <w:rtl w:val="0"/>
        </w:rPr>
        <w:t xml:space="preserve">Entregables Requeridos: </w:t>
      </w:r>
    </w:p>
    <w:p w:rsidR="00000000" w:rsidDel="00000000" w:rsidP="00000000" w:rsidRDefault="00000000" w:rsidRPr="00000000" w14:paraId="0000002D">
      <w:pPr>
        <w:spacing w:line="259"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line="259" w:lineRule="auto"/>
        <w:jc w:val="both"/>
        <w:rPr>
          <w:rFonts w:ascii="Arial" w:cs="Arial" w:eastAsia="Arial" w:hAnsi="Arial"/>
        </w:rPr>
      </w:pPr>
      <w:r w:rsidDel="00000000" w:rsidR="00000000" w:rsidRPr="00000000">
        <w:rPr>
          <w:rFonts w:ascii="Arial" w:cs="Arial" w:eastAsia="Arial" w:hAnsi="Arial"/>
          <w:rtl w:val="0"/>
        </w:rPr>
        <w:t xml:space="preserve">• Entregable 1: Script PHP (ServiceConnector.php) con la lógica de consumo del Web Service. </w:t>
      </w:r>
    </w:p>
    <w:p w:rsidR="00000000" w:rsidDel="00000000" w:rsidP="00000000" w:rsidRDefault="00000000" w:rsidRPr="00000000" w14:paraId="0000002F">
      <w:pPr>
        <w:spacing w:line="259" w:lineRule="auto"/>
        <w:jc w:val="both"/>
        <w:rPr>
          <w:rFonts w:ascii="Arial" w:cs="Arial" w:eastAsia="Arial" w:hAnsi="Arial"/>
        </w:rPr>
      </w:pPr>
      <w:r w:rsidDel="00000000" w:rsidR="00000000" w:rsidRPr="00000000">
        <w:rPr>
          <w:rFonts w:ascii="Arial" w:cs="Arial" w:eastAsia="Arial" w:hAnsi="Arial"/>
          <w:rtl w:val="0"/>
        </w:rPr>
        <w:t xml:space="preserve">• Entregable 2: Diagrama de Clases UML actualizado y exportado en alta resolución (PNG/PDF). </w:t>
      </w:r>
    </w:p>
    <w:p w:rsidR="00000000" w:rsidDel="00000000" w:rsidP="00000000" w:rsidRDefault="00000000" w:rsidRPr="00000000" w14:paraId="00000030">
      <w:pPr>
        <w:spacing w:line="259" w:lineRule="auto"/>
        <w:jc w:val="both"/>
        <w:rPr>
          <w:rFonts w:ascii="Arial" w:cs="Arial" w:eastAsia="Arial" w:hAnsi="Arial"/>
          <w:b w:val="1"/>
          <w:bCs w:val="1"/>
        </w:rPr>
      </w:pPr>
      <w:r w:rsidDel="00000000" w:rsidR="00000000" w:rsidRPr="00000000">
        <w:rPr>
          <w:rFonts w:ascii="Arial" w:cs="Arial" w:eastAsia="Arial" w:hAnsi="Arial"/>
          <w:rtl w:val="0"/>
        </w:rPr>
        <w:t xml:space="preserve">• Entregable 3: Captura de pantalla del registro en la base de datos MySQL con información extraída directamente del servicio web. </w:t>
      </w:r>
      <w:r w:rsidDel="00000000" w:rsidR="00000000" w:rsidRPr="00000000">
        <w:rPr>
          <w:rtl w:val="0"/>
        </w:rPr>
      </w:r>
    </w:p>
    <w:sectPr>
      <w:headerReference r:id="rId1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T2hvXsV92+EUYyqzBmtYEynm3g==">CgMxLjA4AHIhMUxkV2xzWjE4XzJrR1NXQWpqaWY3LV9MTlh6VjFpSV9a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