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42412136"/>
        <w:docPartObj>
          <w:docPartGallery w:val="Cover Pages"/>
          <w:docPartUnique/>
        </w:docPartObj>
      </w:sdtPr>
      <w:sdtEndPr>
        <w:rPr>
          <w:rFonts w:eastAsiaTheme="majorEastAsia"/>
          <w:color w:val="3B3838" w:themeColor="background2" w:themeShade="40"/>
          <w:kern w:val="28"/>
          <w:sz w:val="52"/>
          <w:szCs w:val="52"/>
          <w:lang w:bidi="fr-FR"/>
          <w14:ligatures w14:val="standard"/>
          <w14:numForm w14:val="oldStyle"/>
        </w:rPr>
      </w:sdtEndPr>
      <w:sdtContent>
        <w:p w14:paraId="69F005AC" w14:textId="508C8553" w:rsidR="000057D7" w:rsidRDefault="000057D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CBCC5A" wp14:editId="066B69D9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alias w:val="Titre"/>
                                  <w:id w:val="-127555010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F0E12F1" w14:textId="77777777" w:rsidR="000057D7" w:rsidRPr="000057D7" w:rsidRDefault="000057D7" w:rsidP="000057D7">
                                    <w:pPr>
                                      <w:pStyle w:val="Titre"/>
                                    </w:pPr>
                                    <w:r w:rsidRPr="000057D7">
                                      <w:t>Cahier technique — Livre Blanc de la Paie (LBP)</w:t>
                                    </w:r>
                                  </w:p>
                                </w:sdtContent>
                              </w:sdt>
                              <w:p w14:paraId="69F982D0" w14:textId="77777777" w:rsidR="000057D7" w:rsidRDefault="000057D7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5CBCC5A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5b9bd5 [3204]" stroked="f">
                    <v:textbox inset="21.6pt,1in,21.6pt">
                      <w:txbxContent>
                        <w:sdt>
                          <w:sdtPr>
                            <w:alias w:val="Titre"/>
                            <w:id w:val="-1275550102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F0E12F1" w14:textId="77777777" w:rsidR="000057D7" w:rsidRPr="000057D7" w:rsidRDefault="000057D7" w:rsidP="000057D7">
                              <w:pPr>
                                <w:pStyle w:val="Titre"/>
                              </w:pPr>
                              <w:r w:rsidRPr="000057D7">
                                <w:t>[Titre du document]</w:t>
                              </w:r>
                            </w:p>
                          </w:sdtContent>
                        </w:sdt>
                        <w:p w14:paraId="69F982D0" w14:textId="77777777" w:rsidR="000057D7" w:rsidRDefault="000057D7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1C85271" wp14:editId="5D0FA41F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</w:rPr>
                                  <w:alias w:val="Sous-titre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38D667" w14:textId="77777777" w:rsidR="000057D7" w:rsidRDefault="000057D7">
                                    <w:pPr>
                                      <w:pStyle w:val="Sous-titre"/>
                                      <w:rPr>
                                        <w:rFonts w:cstheme="minorBidi"/>
                                      </w:rPr>
                                    </w:pPr>
                                    <w:r w:rsidRPr="000057D7">
                                      <w:t>[Sous-titre du document]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1C85271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</w:rPr>
                            <w:alias w:val="Sous-titre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6938D667" w14:textId="77777777" w:rsidR="000057D7" w:rsidRDefault="000057D7">
                              <w:pPr>
                                <w:pStyle w:val="Sous-titre"/>
                                <w:rPr>
                                  <w:rFonts w:cstheme="minorBidi"/>
                                </w:rPr>
                              </w:pPr>
                              <w:r w:rsidRPr="000057D7">
                                <w:t>[Sous-titre du document]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81697D6" w14:textId="77777777" w:rsidR="000057D7" w:rsidRDefault="000057D7"/>
        <w:p w14:paraId="75D84E87" w14:textId="4EF31D6A" w:rsidR="000057D7" w:rsidRDefault="000057D7">
          <w:pPr>
            <w:rPr>
              <w:rFonts w:ascii="Segoe UI Light" w:eastAsiaTheme="majorEastAsia" w:hAnsi="Segoe UI Light" w:cs="Segoe UI Light"/>
              <w:color w:val="3B3838" w:themeColor="background2" w:themeShade="40"/>
              <w:kern w:val="28"/>
              <w:sz w:val="52"/>
              <w:szCs w:val="52"/>
              <w:lang w:bidi="fr-FR"/>
              <w14:ligatures w14:val="standard"/>
              <w14:numForm w14:val="oldStyle"/>
            </w:rPr>
          </w:pPr>
          <w:r>
            <w:rPr>
              <w:rFonts w:eastAsiaTheme="majorEastAsia"/>
              <w:color w:val="3B3838" w:themeColor="background2" w:themeShade="40"/>
              <w:kern w:val="28"/>
              <w:sz w:val="52"/>
              <w:szCs w:val="52"/>
              <w:lang w:bidi="fr-FR"/>
              <w14:ligatures w14:val="standard"/>
              <w14:numForm w14:val="oldStyle"/>
            </w:rPr>
            <w:br w:type="page"/>
          </w:r>
        </w:p>
      </w:sdtContent>
    </w:sdt>
    <w:p w14:paraId="77B5E58C" w14:textId="2ABA1376" w:rsidR="00E118B0" w:rsidRDefault="00E118B0">
      <w:pPr>
        <w:rPr>
          <w:rFonts w:ascii="Segoe UI Light" w:eastAsiaTheme="majorEastAsia" w:hAnsi="Segoe UI Light" w:cs="Segoe UI Light"/>
          <w:color w:val="3B3838" w:themeColor="background2" w:themeShade="40"/>
          <w:kern w:val="28"/>
          <w:sz w:val="52"/>
          <w:szCs w:val="52"/>
          <w:lang w:bidi="fr-FR"/>
          <w14:ligatures w14:val="standard"/>
          <w14:numForm w14:val="oldStyle"/>
        </w:rPr>
      </w:pPr>
    </w:p>
    <w:sdt>
      <w:sdtPr>
        <w:rPr>
          <w:rFonts w:ascii="Segoe UI" w:eastAsiaTheme="minorHAnsi" w:hAnsi="Segoe UI" w:cs="Segoe UI"/>
          <w:b w:val="0"/>
          <w:color w:val="auto"/>
          <w:sz w:val="22"/>
          <w:szCs w:val="22"/>
        </w:rPr>
        <w:id w:val="13681013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DAC75B0" w14:textId="51E0666A" w:rsidR="00E118B0" w:rsidRDefault="00E118B0">
          <w:pPr>
            <w:pStyle w:val="En-ttedetabledesmatires"/>
          </w:pPr>
          <w:r>
            <w:t>Table des matières</w:t>
          </w:r>
        </w:p>
        <w:p w14:paraId="7E6F720D" w14:textId="34EA0947" w:rsidR="001C296E" w:rsidRDefault="00E118B0">
          <w:pPr>
            <w:pStyle w:val="TM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94974" w:history="1">
            <w:r w:rsidR="001C296E" w:rsidRPr="003C393C">
              <w:rPr>
                <w:rStyle w:val="Lienhypertexte"/>
              </w:rPr>
              <w:t>[Nom du Projet] — Documentation Technique Spécifique</w:t>
            </w:r>
            <w:r w:rsidR="001C296E">
              <w:rPr>
                <w:webHidden/>
              </w:rPr>
              <w:tab/>
            </w:r>
            <w:r w:rsidR="001C296E">
              <w:rPr>
                <w:webHidden/>
              </w:rPr>
              <w:fldChar w:fldCharType="begin"/>
            </w:r>
            <w:r w:rsidR="001C296E">
              <w:rPr>
                <w:webHidden/>
              </w:rPr>
              <w:instrText xml:space="preserve"> PAGEREF _Toc235094974 \h </w:instrText>
            </w:r>
            <w:r w:rsidR="001C296E">
              <w:rPr>
                <w:webHidden/>
              </w:rPr>
            </w:r>
            <w:r w:rsidR="001C296E">
              <w:rPr>
                <w:webHidden/>
              </w:rPr>
              <w:fldChar w:fldCharType="separate"/>
            </w:r>
            <w:r w:rsidR="001C296E">
              <w:rPr>
                <w:webHidden/>
              </w:rPr>
              <w:t>3</w:t>
            </w:r>
            <w:r w:rsidR="001C296E">
              <w:rPr>
                <w:webHidden/>
              </w:rPr>
              <w:fldChar w:fldCharType="end"/>
            </w:r>
          </w:hyperlink>
        </w:p>
        <w:p w14:paraId="147754B0" w14:textId="7AD28753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75" w:history="1">
            <w:r w:rsidRPr="003C393C">
              <w:rPr>
                <w:rStyle w:val="Lienhypertexte"/>
                <w:noProof/>
              </w:rPr>
              <w:t>PARTIE 1 : CONTEXTE &amp; 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89012" w14:textId="4F81E8B8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76" w:history="1">
            <w:r w:rsidRPr="003C393C">
              <w:rPr>
                <w:rStyle w:val="Lienhypertexte"/>
                <w:noProof/>
              </w:rPr>
              <w:t>1.1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BDBDB" w14:textId="679B1E6E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77" w:history="1">
            <w:r w:rsidRPr="003C393C">
              <w:rPr>
                <w:rStyle w:val="Lienhypertexte"/>
                <w:noProof/>
              </w:rPr>
              <w:t>1.2 Équipe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27D1" w14:textId="15443561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78" w:history="1">
            <w:r w:rsidRPr="003C393C">
              <w:rPr>
                <w:rStyle w:val="Lienhypertexte"/>
                <w:noProof/>
              </w:rPr>
              <w:t>1.3 Historique des 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4CCC" w14:textId="1BA8B8DB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79" w:history="1">
            <w:r w:rsidRPr="003C393C">
              <w:rPr>
                <w:rStyle w:val="Lienhypertexte"/>
                <w:noProof/>
              </w:rPr>
              <w:t>PARTIE 2 : ARCHITECTURE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12013" w14:textId="4EB3D0C4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0" w:history="1">
            <w:r w:rsidRPr="003C393C">
              <w:rPr>
                <w:rStyle w:val="Lienhypertexte"/>
                <w:noProof/>
              </w:rPr>
              <w:t>2.1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5D4F" w14:textId="78464BED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1" w:history="1">
            <w:r w:rsidRPr="003C393C">
              <w:rPr>
                <w:rStyle w:val="Lienhypertexte"/>
                <w:noProof/>
              </w:rPr>
              <w:t>2.2 Scripts et fichiers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06277" w14:textId="76F1C8F6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2" w:history="1">
            <w:r w:rsidRPr="003C393C">
              <w:rPr>
                <w:rStyle w:val="Lienhypertexte"/>
                <w:noProof/>
              </w:rPr>
              <w:t>2.3 Dépendances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1CA3" w14:textId="7D83BB44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3" w:history="1">
            <w:r w:rsidRPr="003C393C">
              <w:rPr>
                <w:rStyle w:val="Lienhypertexte"/>
                <w:noProof/>
              </w:rPr>
              <w:t>2.4 Fichiers d'entrée / sortie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75E8" w14:textId="350B06AF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4" w:history="1">
            <w:r w:rsidRPr="003C393C">
              <w:rPr>
                <w:rStyle w:val="Lienhypertexte"/>
                <w:noProof/>
              </w:rPr>
              <w:t>PARTIE 3 : PIPELINE DE TRAITEMENT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103D8" w14:textId="061709A0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5" w:history="1">
            <w:r w:rsidRPr="003C393C">
              <w:rPr>
                <w:rStyle w:val="Lienhypertexte"/>
                <w:noProof/>
              </w:rPr>
              <w:t>3.1 Vue d'ensemble des blocs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D6903" w14:textId="6B8C3357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6" w:history="1">
            <w:r w:rsidRPr="003C393C">
              <w:rPr>
                <w:rStyle w:val="Lienhypertexte"/>
                <w:noProof/>
              </w:rPr>
              <w:t>3.2 Détail des blocs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4F2B" w14:textId="4CF21224" w:rsidR="001C296E" w:rsidRDefault="001C296E">
          <w:pPr>
            <w:pStyle w:val="TM1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7" w:history="1">
            <w:r w:rsidRPr="003C393C">
              <w:rPr>
                <w:rStyle w:val="Lienhypertexte"/>
              </w:rPr>
              <w:t>[Description de la logique principale]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_Toc235094987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C23C523" w14:textId="35A96DAE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8" w:history="1">
            <w:r w:rsidRPr="003C393C">
              <w:rPr>
                <w:rStyle w:val="Lienhypertexte"/>
                <w:noProof/>
              </w:rPr>
              <w:t>PARTIE 4 : SCRIPT DE COMPARAISON /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EC979" w14:textId="4AFFE576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89" w:history="1">
            <w:r w:rsidRPr="003C393C">
              <w:rPr>
                <w:rStyle w:val="Lienhypertexte"/>
                <w:noProof/>
              </w:rPr>
              <w:t>4.1 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1E2B" w14:textId="28D55622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0" w:history="1">
            <w:r w:rsidRPr="003C393C">
              <w:rPr>
                <w:rStyle w:val="Lienhypertexte"/>
                <w:noProof/>
              </w:rPr>
              <w:t>4.2 Clé de rapprochement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63116" w14:textId="515EBDAF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1" w:history="1">
            <w:r w:rsidRPr="003C393C">
              <w:rPr>
                <w:rStyle w:val="Lienhypertexte"/>
                <w:noProof/>
              </w:rPr>
              <w:t>4.3 Colonnes comparées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5EE2F" w14:textId="1D6DBBC9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2" w:history="1">
            <w:r w:rsidRPr="003C393C">
              <w:rPr>
                <w:rStyle w:val="Lienhypertexte"/>
                <w:noProof/>
              </w:rPr>
              <w:t>4.4 Rapport de sortie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F6F12" w14:textId="79FF6090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3" w:history="1">
            <w:r w:rsidRPr="003C393C">
              <w:rPr>
                <w:rStyle w:val="Lienhypertexte"/>
                <w:noProof/>
              </w:rPr>
              <w:t>4.5 Métriques de comparaison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4D1E4" w14:textId="093C1E09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4" w:history="1">
            <w:r w:rsidRPr="003C393C">
              <w:rPr>
                <w:rStyle w:val="Lienhypertexte"/>
                <w:noProof/>
              </w:rPr>
              <w:t>PARTIE 5 : ÉTAT D'AVANCEMENT &amp; POINTS OUVERTS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4F531" w14:textId="098AB962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5" w:history="1">
            <w:r w:rsidRPr="003C393C">
              <w:rPr>
                <w:rStyle w:val="Lienhypertexte"/>
                <w:noProof/>
              </w:rPr>
              <w:t>5.1 Historique par itération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F18B7" w14:textId="71DC43F7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6" w:history="1">
            <w:r w:rsidRPr="003C393C">
              <w:rPr>
                <w:rStyle w:val="Lienhypertexte"/>
                <w:noProof/>
              </w:rPr>
              <w:t>5.2 Anomalies identifiées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3FBFE" w14:textId="65FC599C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7" w:history="1">
            <w:r w:rsidRPr="003C393C">
              <w:rPr>
                <w:rStyle w:val="Lienhypertexte"/>
                <w:noProof/>
              </w:rPr>
              <w:t>5.3 Décisions métier en attente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74578" w14:textId="2470D013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8" w:history="1">
            <w:r w:rsidRPr="003C393C">
              <w:rPr>
                <w:rStyle w:val="Lienhypertexte"/>
                <w:noProof/>
              </w:rPr>
              <w:t>5.4 Prochaines étapes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F2B9" w14:textId="5A4CA61E" w:rsidR="001C296E" w:rsidRDefault="001C296E">
          <w:pPr>
            <w:pStyle w:val="TM2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4999" w:history="1">
            <w:r w:rsidRPr="003C393C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C6CC9" w14:textId="5B3C8714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5000" w:history="1">
            <w:r w:rsidRPr="003C393C">
              <w:rPr>
                <w:rStyle w:val="Lienhypertexte"/>
                <w:noProof/>
              </w:rPr>
              <w:t>Annexe A — Glossaire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64319" w14:textId="58EB66EE" w:rsidR="001C296E" w:rsidRDefault="001C296E">
          <w:pPr>
            <w:pStyle w:val="TM3"/>
            <w:tabs>
              <w:tab w:val="right" w:leader="dot" w:pos="985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35095001" w:history="1">
            <w:r w:rsidRPr="003C393C">
              <w:rPr>
                <w:rStyle w:val="Lienhypertexte"/>
                <w:noProof/>
              </w:rPr>
              <w:t>Annexe B — Références croisées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_Toc235095001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F2725" w14:textId="2A88D506" w:rsidR="00E118B0" w:rsidRDefault="00E118B0" w:rsidP="00E118B0">
          <w:r>
            <w:rPr>
              <w:b/>
              <w:bCs/>
            </w:rPr>
            <w:fldChar w:fldCharType="end"/>
          </w:r>
        </w:p>
      </w:sdtContent>
    </w:sdt>
    <w:p w14:paraId="43D599A1" w14:textId="77777777" w:rsidR="00DA5A48" w:rsidRDefault="00CE2667">
      <w:r>
        <w:br w:type="page"/>
      </w:r>
    </w:p>
    <w:p>
      <w:pPr>
        <w:pStyle w:val="Titre1"/>
      </w:pPr>
      <w:r>
        <w:t>G2S-LBP-01 — Cahier technique du Livre Blanc de la Paie (LBP)</w:t>
      </w:r>
    </w:p>
    <w:p>
      <w:pPr>
        <w:ind w:left="567"/>
      </w:pPr>
      <w:r>
        <w:rPr>
          <w:b w:val="0"/>
          <w:i/>
        </w:rPr>
        <w:t xml:space="preserve">Cahier technique gouvernance, norme interne </w:t>
      </w:r>
      <w:r>
        <w:rPr>
          <w:b/>
        </w:rPr>
        <w:t>G2S-STD-DOC-01</w:t>
      </w:r>
      <w:r>
        <w:rPr>
          <w:b w:val="0"/>
          <w:i/>
        </w:rPr>
        <w:t>. Ce document ne</w:t>
      </w:r>
    </w:p>
    <w:p>
      <w:pPr>
        <w:ind w:left="567"/>
      </w:pPr>
      <w:r>
        <w:rPr>
          <w:b w:val="0"/>
          <w:i/>
        </w:rPr>
        <w:t>remplace pas une documentation technique exhaustive par domaine</w:t>
      </w:r>
    </w:p>
    <w:p>
      <w:pPr>
        <w:ind w:left="567"/>
      </w:pPr>
      <w:r>
        <w:rPr>
          <w:b w:val="0"/>
          <w:i/>
        </w:rPr>
        <w:t>(</w:t>
      </w:r>
      <w:r>
        <w:rPr>
          <w:rFonts w:ascii="Consolas" w:hAnsi="Consolas"/>
        </w:rPr>
        <w:t>SPEC-FRONT-000X</w:t>
      </w:r>
      <w:r>
        <w:rPr>
          <w:b w:val="0"/>
          <w:i/>
        </w:rPr>
        <w:t>) : il synthétise sous un angle gouvernance / risques /</w:t>
      </w:r>
    </w:p>
    <w:p>
      <w:pPr>
        <w:ind w:left="567"/>
      </w:pPr>
      <w:r>
        <w:rPr>
          <w:b w:val="0"/>
          <w:i/>
        </w:rPr>
        <w:t xml:space="preserve">RGPD / transmissibilité. </w:t>
      </w:r>
      <w:r>
        <w:rPr>
          <w:b/>
        </w:rPr>
        <w:t>Aucune `SPEC-FRONT-0001` n'existe à ce jour</w:t>
      </w:r>
      <w:r>
        <w:rPr>
          <w:b w:val="0"/>
          <w:i/>
        </w:rPr>
        <w:t xml:space="preserve"> pour</w:t>
      </w:r>
    </w:p>
    <w:p>
      <w:pPr>
        <w:ind w:left="567"/>
      </w:pPr>
      <w:r>
        <w:rPr>
          <w:b w:val="0"/>
          <w:i/>
        </w:rPr>
        <w:t>le frontend du LBP — c'est un manque identifié par ce cahier lui-même (voir</w:t>
      </w:r>
    </w:p>
    <w:p>
      <w:pPr>
        <w:ind w:left="567"/>
      </w:pPr>
      <w:r>
        <w:rPr>
          <w:b w:val="0"/>
          <w:i/>
        </w:rPr>
        <w:t>Chapitre 6, dette documentaire) plutôt qu'une omission de rédaction.</w:t>
      </w:r>
    </w:p>
    <w:p>
      <w:pPr>
        <w:ind w:left="567"/>
      </w:pPr>
    </w:p>
    <w:p>
      <w:pPr>
        <w:ind w:left="567"/>
      </w:pPr>
      <w:r>
        <w:rPr>
          <w:b/>
        </w:rPr>
        <w:t>Sources exploitées pour l'amorçage</w:t>
      </w:r>
      <w:r>
        <w:rPr>
          <w:b w:val="0"/>
          <w:i/>
        </w:rPr>
        <w:t xml:space="preserve"> (toutes situées dans</w:t>
      </w:r>
    </w:p>
    <w:p>
      <w:pPr>
        <w:ind w:left="567"/>
      </w:pPr>
      <w:r>
        <w:rPr>
          <w:rFonts w:ascii="Consolas" w:hAnsi="Consolas"/>
        </w:rPr>
        <w:t>projet-lbp/</w:t>
      </w:r>
      <w:r>
        <w:rPr>
          <w:b w:val="0"/>
          <w:i/>
        </w:rPr>
        <w:t>, sauf mention contraire) :</w:t>
      </w:r>
    </w:p>
    <w:p>
      <w:pPr>
        <w:ind w:left="567"/>
      </w:pPr>
      <w:r>
        <w:rPr>
          <w:b w:val="0"/>
          <w:i/>
        </w:rPr>
        <w:t xml:space="preserve">- </w:t>
      </w:r>
      <w:r>
        <w:rPr>
          <w:rFonts w:ascii="Consolas" w:hAnsi="Consolas"/>
        </w:rPr>
        <w:t>LBP_Cahier_des_charges_et_technique-3.pdf</w:t>
      </w:r>
      <w:r>
        <w:rPr>
          <w:b w:val="0"/>
          <w:i/>
        </w:rPr>
        <w:t xml:space="preserve"> (49 p., document interne du 7 août 2026) — cahier des charges fonctionnel et technique de référence.</w:t>
      </w:r>
    </w:p>
    <w:p>
      <w:pPr>
        <w:ind w:left="567"/>
      </w:pPr>
      <w:r>
        <w:rPr>
          <w:b w:val="0"/>
          <w:i/>
        </w:rPr>
        <w:t xml:space="preserve">- </w:t>
      </w:r>
      <w:r>
        <w:rPr>
          <w:rFonts w:ascii="Consolas" w:hAnsi="Consolas"/>
        </w:rPr>
        <w:t>Compte Rendu de Réunion - Le Livre Blanc de la Paie.pdf</w:t>
      </w:r>
      <w:r>
        <w:rPr>
          <w:b w:val="0"/>
          <w:i/>
        </w:rPr>
        <w:t xml:space="preserve"> (11 p., document du 04/08/2026) — cadrage stratégique et feuille de route.</w:t>
      </w:r>
    </w:p>
    <w:p>
      <w:pPr>
        <w:ind w:left="567"/>
      </w:pPr>
      <w:r>
        <w:rPr>
          <w:b w:val="0"/>
          <w:i/>
        </w:rPr>
        <w:t xml:space="preserve">- </w:t>
      </w:r>
      <w:r>
        <w:rPr>
          <w:rFonts w:ascii="Consolas" w:hAnsi="Consolas"/>
        </w:rPr>
        <w:t>LBP_V2-20.html</w:t>
      </w:r>
      <w:r>
        <w:rPr>
          <w:b w:val="0"/>
          <w:i/>
        </w:rPr>
        <w:t xml:space="preserve"> (le prototype lui-même — code source inspecté directement, ligne par ligne, pour tous les faits techniques de ce cahier).</w:t>
      </w:r>
    </w:p>
    <w:p>
      <w:pPr>
        <w:ind w:left="567"/>
      </w:pPr>
      <w:r>
        <w:rPr>
          <w:b w:val="0"/>
          <w:i/>
        </w:rPr>
        <w:t xml:space="preserve">- </w:t>
      </w:r>
      <w:r>
        <w:rPr>
          <w:rFonts w:ascii="Consolas" w:hAnsi="Consolas"/>
        </w:rPr>
        <w:t>moscow-lbp.html</w:t>
      </w:r>
      <w:r>
        <w:rPr>
          <w:b w:val="0"/>
          <w:i/>
        </w:rPr>
        <w:t xml:space="preserve"> — outil de priorisation MoSCoW (fonctionnalités cataloguées, état de tri).</w:t>
      </w:r>
    </w:p>
    <w:p>
      <w:pPr>
        <w:ind w:left="567"/>
      </w:pPr>
      <w:r>
        <w:rPr>
          <w:b w:val="0"/>
          <w:i/>
        </w:rPr>
        <w:t xml:space="preserve">- </w:t>
      </w:r>
      <w:r>
        <w:rPr>
          <w:rFonts w:ascii="Consolas" w:hAnsi="Consolas"/>
        </w:rPr>
        <w:t>RAPPORT_VERIFICATION_CONSTATS_TERRAIN.md</w:t>
      </w:r>
      <w:r>
        <w:rPr>
          <w:b w:val="0"/>
          <w:i/>
        </w:rPr>
        <w:t xml:space="preserve"> (9 septembre 2026) — vérification de 9 constats de terrain dans le code d'une version antérieure du prototype (</w:t>
      </w:r>
      <w:r>
        <w:rPr>
          <w:rFonts w:ascii="Consolas" w:hAnsi="Consolas"/>
        </w:rPr>
        <w:t>copie_LBP.html</w:t>
      </w:r>
      <w:r>
        <w:rPr>
          <w:b w:val="0"/>
          <w:i/>
        </w:rPr>
        <w:t xml:space="preserve">), recoupée par nous avec le code actuel de </w:t>
      </w:r>
      <w:r>
        <w:rPr>
          <w:rFonts w:ascii="Consolas" w:hAnsi="Consolas"/>
        </w:rPr>
        <w:t>LBP_V2-20.html</w:t>
      </w:r>
      <w:r>
        <w:rPr>
          <w:b w:val="0"/>
          <w:i/>
        </w:rPr>
        <w:t>.</w:t>
      </w:r>
    </w:p>
    <w:p>
      <w:pPr>
        <w:ind w:left="567"/>
      </w:pPr>
      <w:r>
        <w:rPr>
          <w:b w:val="0"/>
          <w:i/>
        </w:rPr>
        <w:t xml:space="preserve">- </w:t>
      </w:r>
      <w:r>
        <w:rPr>
          <w:rFonts w:ascii="Consolas" w:hAnsi="Consolas"/>
        </w:rPr>
        <w:t>MODIFICATIONS_LBP_V2-20.md</w:t>
      </w:r>
      <w:r>
        <w:rPr>
          <w:b w:val="0"/>
          <w:i/>
        </w:rPr>
        <w:t xml:space="preserve"> (8 septembre 2026) — liste des corrections d'accessibilité WCAG 2.1 AA appliquées à </w:t>
      </w:r>
      <w:r>
        <w:rPr>
          <w:rFonts w:ascii="Consolas" w:hAnsi="Consolas"/>
        </w:rPr>
        <w:t>LBP_V2-20.html</w:t>
      </w:r>
      <w:r>
        <w:rPr>
          <w:b w:val="0"/>
          <w:i/>
        </w:rPr>
        <w:t xml:space="preserve">, elle-même issue de </w:t>
      </w:r>
      <w:r>
        <w:rPr>
          <w:rFonts w:ascii="Consolas" w:hAnsi="Consolas"/>
        </w:rPr>
        <w:t>Rapport d'Expertise UI_UX et Audit d'Accessibilité - LBP Référentiel Paie.md</w:t>
      </w:r>
      <w:r>
        <w:rPr>
          <w:b w:val="0"/>
          <w:i/>
        </w:rPr>
        <w:t xml:space="preserve"> (non relu directement pour ce cahier — cité ici par transitivité, à vérifier si une preuve de premier niveau est nécessaire).</w:t>
      </w:r>
    </w:p>
    <w:p>
      <w:pPr>
        <w:ind w:left="567"/>
      </w:pPr>
    </w:p>
    <w:p>
      <w:pPr>
        <w:ind w:left="567"/>
      </w:pPr>
      <w:r>
        <w:rPr>
          <w:b w:val="0"/>
          <w:i/>
        </w:rPr>
        <w:t>Non exploités à ce stade (hors périmètre de cette amorce, à intégrer dans une</w:t>
      </w:r>
    </w:p>
    <w:p>
      <w:pPr>
        <w:ind w:left="567"/>
      </w:pPr>
      <w:r>
        <w:rPr>
          <w:b w:val="0"/>
          <w:i/>
        </w:rPr>
        <w:t xml:space="preserve">future révision si jugé utile) : </w:t>
      </w:r>
      <w:r>
        <w:rPr>
          <w:rFonts w:ascii="Consolas" w:hAnsi="Consolas"/>
        </w:rPr>
        <w:t>Comparatif Tech Stack.pdf</w:t>
      </w:r>
      <w:r>
        <w:rPr>
          <w:b w:val="0"/>
          <w:i/>
        </w:rPr>
        <w:t>, `Note de</w:t>
      </w:r>
    </w:p>
    <w:p>
      <w:pPr>
        <w:ind w:left="567"/>
      </w:pPr>
      <w:r>
        <w:rPr>
          <w:b w:val="0"/>
          <w:i/>
        </w:rPr>
        <w:t>cadrage - LBP.pptx</w:t>
      </w:r>
      <w:r>
        <w:rPr>
          <w:rFonts w:ascii="Consolas" w:hAnsi="Consolas"/>
        </w:rPr>
        <w:t xml:space="preserve">, </w:t>
      </w:r>
      <w:r>
        <w:rPr>
          <w:b w:val="0"/>
          <w:i/>
        </w:rPr>
        <w:t>Rapport_Prix_IA_RAG_n8n (1).docx`,</w:t>
      </w:r>
    </w:p>
    <w:p>
      <w:pPr>
        <w:ind w:left="567"/>
      </w:pPr>
      <w:r>
        <w:rPr>
          <w:rFonts w:ascii="Consolas" w:hAnsi="Consolas"/>
        </w:rPr>
        <w:t>Constats_de_terrain_LBP.html</w:t>
      </w:r>
      <w:r>
        <w:rPr>
          <w:b w:val="0"/>
          <w:i/>
        </w:rPr>
        <w:t xml:space="preserve">, </w:t>
      </w:r>
      <w:r>
        <w:rPr>
          <w:rFonts w:ascii="Consolas" w:hAnsi="Consolas"/>
        </w:rPr>
        <w:t>copie_LBP.html</w:t>
      </w:r>
      <w:r>
        <w:rPr>
          <w:b w:val="0"/>
          <w:i/>
        </w:rPr>
        <w:t xml:space="preserve">, </w:t>
      </w:r>
      <w:r>
        <w:rPr>
          <w:rFonts w:ascii="Consolas" w:hAnsi="Consolas"/>
        </w:rPr>
        <w:t>lbp-v2.html</w:t>
      </w:r>
      <w:r>
        <w:rPr>
          <w:b w:val="0"/>
          <w:i/>
        </w:rPr>
        <w:t>,</w:t>
      </w:r>
    </w:p>
    <w:p>
      <w:pPr>
        <w:ind w:left="567"/>
      </w:pPr>
      <w:r>
        <w:rPr>
          <w:rFonts w:ascii="Consolas" w:hAnsi="Consolas"/>
        </w:rPr>
        <w:t>index.html.bak</w:t>
      </w:r>
      <w:r>
        <w:rPr>
          <w:b w:val="0"/>
          <w:i/>
        </w:rPr>
        <w:t xml:space="preserve">, </w:t>
      </w:r>
      <w:r>
        <w:rPr>
          <w:rFonts w:ascii="Consolas" w:hAnsi="Consolas"/>
        </w:rPr>
        <w:t>V7 SITE_INTERNET_V2_accueil-18.html</w:t>
      </w:r>
      <w:r>
        <w:rPr>
          <w:b w:val="0"/>
          <w:i/>
        </w:rPr>
        <w:t xml:space="preserve">, </w:t>
      </w:r>
      <w:r>
        <w:rPr>
          <w:rFonts w:ascii="Consolas" w:hAnsi="Consolas"/>
        </w:rPr>
        <w:t>model1.md</w:t>
      </w:r>
      <w:r>
        <w:rPr>
          <w:b w:val="0"/>
          <w:i/>
        </w:rPr>
        <w:t>,</w:t>
      </w:r>
    </w:p>
    <w:p>
      <w:pPr>
        <w:ind w:left="567"/>
      </w:pPr>
      <w:r>
        <w:rPr>
          <w:rFonts w:ascii="Consolas" w:hAnsi="Consolas"/>
        </w:rPr>
        <w:t>model2.md</w:t>
      </w:r>
      <w:r>
        <w:rPr>
          <w:b w:val="0"/>
          <w:i/>
        </w:rPr>
        <w:t>.</w:t>
      </w:r>
    </w:p>
    <w:p>
      <w:pPr>
        <w:pStyle w:val="Titre2"/>
      </w:pPr>
      <w:r>
        <w:t>0. Statut de recevabilité — à lire avant tout le reste</w:t>
      </w:r>
    </w:p>
    <w:p>
      <w:r>
        <w:rPr>
          <w:b w:val="0"/>
          <w:i w:val="0"/>
        </w:rPr>
        <w:t>Règle transversale obligatoire de la norme : **aucun chapitre technique</w:t>
      </w:r>
    </w:p>
    <w:p>
      <w:r>
        <w:rPr>
          <w:b w:val="0"/>
          <w:i w:val="0"/>
        </w:rPr>
        <w:t>(architecture, flux, sécurité, reprise CTO) ne peut démarrer sans que</w:t>
      </w:r>
    </w:p>
    <w:p>
      <w:r>
        <w:rPr>
          <w:b w:val="0"/>
          <w:i w:val="0"/>
        </w:rPr>
        <w:t>l'apport correspondant ait été fourni par son pilote — à défaut, le document</w:t>
      </w:r>
    </w:p>
    <w:p>
      <w:r>
        <w:rPr>
          <w:b w:val="0"/>
          <w:i w:val="0"/>
        </w:rPr>
        <w:t>est non opposable.**</w:t>
      </w:r>
    </w:p>
    <w:p>
      <w:r>
        <w:rPr>
          <w:b w:val="0"/>
          <w:i w:val="0"/>
        </w:rPr>
        <w:t xml:space="preserve">Ce cahier est un </w:t>
      </w:r>
      <w:r>
        <w:rPr>
          <w:b/>
        </w:rPr>
        <w:t>amorçage par extraction automatisée</w:t>
      </w:r>
      <w:r>
        <w:rPr>
          <w:b w:val="0"/>
          <w:i w:val="0"/>
        </w:rPr>
        <w:t xml:space="preserve"> (IA) à partir des</w:t>
      </w:r>
    </w:p>
    <w:p>
      <w:r>
        <w:rPr>
          <w:b w:val="0"/>
          <w:i w:val="0"/>
        </w:rPr>
        <w:t>sources listées ci-dessus. Aucun pilote nommé ne l'a encore relu ni validé.</w:t>
      </w:r>
    </w:p>
    <w:p>
      <w:r>
        <w:rPr>
          <w:b w:val="0"/>
          <w:i w:val="0"/>
        </w:rPr>
        <w:t xml:space="preserve">Il reste un </w:t>
      </w:r>
      <w:r>
        <w:rPr>
          <w:b/>
        </w:rPr>
        <w:t>brouillon de travail</w:t>
      </w:r>
      <w:r>
        <w:rPr>
          <w:b w:val="0"/>
          <w:i w:val="0"/>
        </w:rPr>
        <w:t>.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Chapitre</w:t>
            </w:r>
          </w:p>
        </w:tc>
        <w:tc>
          <w:tcPr>
            <w:tcW w:type="dxa" w:w="2466"/>
          </w:tcPr>
          <w:p>
            <w:r>
              <w:rPr>
                <w:b/>
              </w:rPr>
              <w:t>Contenu technique extrait</w:t>
            </w:r>
          </w:p>
        </w:tc>
        <w:tc>
          <w:tcPr>
            <w:tcW w:type="dxa" w:w="2466"/>
          </w:tcPr>
          <w:p>
            <w:r>
              <w:rPr>
                <w:b/>
              </w:rPr>
              <w:t>Validation pilote reçue</w:t>
            </w:r>
          </w:p>
        </w:tc>
        <w:tc>
          <w:tcPr>
            <w:tcW w:type="dxa" w:w="2466"/>
          </w:tcPr>
          <w:p>
            <w:r>
              <w:rPr>
                <w:b/>
              </w:rPr>
              <w:t>Opposable ?</w:t>
            </w:r>
          </w:p>
        </w:tc>
      </w:tr>
      <w:tr>
        <w:tc>
          <w:tcPr>
            <w:tcW w:type="dxa" w:w="2466"/>
          </w:tcPr>
          <w:p>
            <w:r>
              <w:t>1. Résumé exécutif</w:t>
            </w:r>
          </w:p>
        </w:tc>
        <w:tc>
          <w:tcPr>
            <w:tcW w:type="dxa" w:w="2466"/>
          </w:tcPr>
          <w:p>
            <w:r>
              <w:t>Partielle (chiffres extraits, arbitrages en attente)</w:t>
            </w:r>
          </w:p>
        </w:tc>
        <w:tc>
          <w:tcPr>
            <w:tcW w:type="dxa" w:w="2466"/>
          </w:tcPr>
          <w:p>
            <w:r>
              <w:t>❌ Porteur produit (Pauline LETOURNEUR) + référents métier (James AHMEDALY, Nicolas SECK)</w:t>
            </w:r>
          </w:p>
        </w:tc>
        <w:tc>
          <w:tcPr>
            <w:tcW w:type="dxa" w:w="2466"/>
          </w:tcPr>
          <w:p>
            <w:r>
              <w:t>Non</w:t>
            </w:r>
          </w:p>
        </w:tc>
      </w:tr>
      <w:tr>
        <w:tc>
          <w:tcPr>
            <w:tcW w:type="dxa" w:w="2466"/>
          </w:tcPr>
          <w:p>
            <w:r>
              <w:t>2. Périmètre et positionnement</w:t>
            </w:r>
          </w:p>
        </w:tc>
        <w:tc>
          <w:tcPr>
            <w:tcW w:type="dxa" w:w="2466"/>
          </w:tcPr>
          <w:p>
            <w:r>
              <w:t>Oui (cahier des charges + compte-rendu)</w:t>
            </w:r>
          </w:p>
        </w:tc>
        <w:tc>
          <w:tcPr>
            <w:tcW w:type="dxa" w:w="2466"/>
          </w:tcPr>
          <w:p>
            <w:r>
              <w:t>❌ Référents métier/fonctionnel (James AHMEDALY, Nicolas SECK)</w:t>
            </w:r>
          </w:p>
        </w:tc>
        <w:tc>
          <w:tcPr>
            <w:tcW w:type="dxa" w:w="2466"/>
          </w:tcPr>
          <w:p>
            <w:r>
              <w:t>Non</w:t>
            </w:r>
          </w:p>
        </w:tc>
      </w:tr>
      <w:tr>
        <w:tc>
          <w:tcPr>
            <w:tcW w:type="dxa" w:w="2466"/>
          </w:tcPr>
          <w:p>
            <w:r>
              <w:t>3. Architecture technique</w:t>
            </w:r>
          </w:p>
        </w:tc>
        <w:tc>
          <w:tcPr>
            <w:tcW w:type="dxa" w:w="2466"/>
          </w:tcPr>
          <w:p>
            <w:r>
              <w:t>Oui (code source inspecté directement)</w:t>
            </w:r>
          </w:p>
        </w:tc>
        <w:tc>
          <w:tcPr>
            <w:tcW w:type="dxa" w:w="2466"/>
          </w:tcPr>
          <w:p>
            <w:r>
              <w:t>❌ Direction technique (Almamy CAMARA)</w:t>
            </w:r>
          </w:p>
        </w:tc>
        <w:tc>
          <w:tcPr>
            <w:tcW w:type="dxa" w:w="2466"/>
          </w:tcPr>
          <w:p>
            <w:r>
              <w:t>Non</w:t>
            </w:r>
          </w:p>
        </w:tc>
      </w:tr>
      <w:tr>
        <w:tc>
          <w:tcPr>
            <w:tcW w:type="dxa" w:w="2466"/>
          </w:tcPr>
          <w:p>
            <w:r>
              <w:t>4. Intelligence métier</w:t>
            </w:r>
          </w:p>
        </w:tc>
        <w:tc>
          <w:tcPr>
            <w:tcW w:type="dxa" w:w="2466"/>
          </w:tcPr>
          <w:p>
            <w:r>
              <w:t>Oui (code source + cahier des charges)</w:t>
            </w:r>
          </w:p>
        </w:tc>
        <w:tc>
          <w:tcPr>
            <w:tcW w:type="dxa" w:w="2466"/>
          </w:tcPr>
          <w:p>
            <w:r>
              <w:t>❌ Direction technique (Almamy CAMARA) + référents métier (James AHMEDALY, Nicolas SECK)</w:t>
            </w:r>
          </w:p>
        </w:tc>
        <w:tc>
          <w:tcPr>
            <w:tcW w:type="dxa" w:w="2466"/>
          </w:tcPr>
          <w:p>
            <w:r>
              <w:t>Non</w:t>
            </w:r>
          </w:p>
        </w:tc>
      </w:tr>
      <w:tr>
        <w:tc>
          <w:tcPr>
            <w:tcW w:type="dxa" w:w="2466"/>
          </w:tcPr>
          <w:p>
            <w:r>
              <w:t>5. Sécurité et RGPD</w:t>
            </w:r>
          </w:p>
        </w:tc>
        <w:tc>
          <w:tcPr>
            <w:tcW w:type="dxa" w:w="2466"/>
          </w:tcPr>
          <w:p>
            <w:r>
              <w:t>Partielle (constats factuels ; arbitrages juridiques non tranchés)</w:t>
            </w:r>
          </w:p>
        </w:tc>
        <w:tc>
          <w:tcPr>
            <w:tcW w:type="dxa" w:w="2466"/>
          </w:tcPr>
          <w:p>
            <w:r>
              <w:t>❌ Porteur produit (Pauline LETOURNEUR) + référent juridique (Pauline LETOURNEUR)</w:t>
            </w:r>
          </w:p>
        </w:tc>
        <w:tc>
          <w:tcPr>
            <w:tcW w:type="dxa" w:w="2466"/>
          </w:tcPr>
          <w:p>
            <w:r>
              <w:t>Non</w:t>
            </w:r>
          </w:p>
        </w:tc>
      </w:tr>
      <w:tr>
        <w:tc>
          <w:tcPr>
            <w:tcW w:type="dxa" w:w="2466"/>
          </w:tcPr>
          <w:p>
            <w:r>
              <w:t>6. Risques et transmissibilité</w:t>
            </w:r>
          </w:p>
        </w:tc>
        <w:tc>
          <w:tcPr>
            <w:tcW w:type="dxa" w:w="2466"/>
          </w:tcPr>
          <w:p>
            <w:r>
              <w:t>Oui (cahier des charges §6 + vérification code)</w:t>
            </w:r>
          </w:p>
        </w:tc>
        <w:tc>
          <w:tcPr>
            <w:tcW w:type="dxa" w:w="2466"/>
          </w:tcPr>
          <w:p>
            <w:r>
              <w:t>❌ Direction technique (Almamy CAMARA) + porteur produit (Pauline LETOURNEUR)</w:t>
            </w:r>
          </w:p>
        </w:tc>
        <w:tc>
          <w:tcPr>
            <w:tcW w:type="dxa" w:w="2466"/>
          </w:tcPr>
          <w:p>
            <w:r>
              <w:t>Non</w:t>
            </w:r>
          </w:p>
        </w:tc>
      </w:tr>
      <w:tr>
        <w:tc>
          <w:tcPr>
            <w:tcW w:type="dxa" w:w="2466"/>
          </w:tcPr>
          <w:p>
            <w:r>
              <w:t>7. Roadmap et évolution</w:t>
            </w:r>
          </w:p>
        </w:tc>
        <w:tc>
          <w:tcPr>
            <w:tcW w:type="dxa" w:w="2466"/>
          </w:tcPr>
          <w:p>
            <w:r>
              <w:t>Partielle (feuille de route connue ; MoSCoW non exécuté)</w:t>
            </w:r>
          </w:p>
        </w:tc>
        <w:tc>
          <w:tcPr>
            <w:tcW w:type="dxa" w:w="2466"/>
          </w:tcPr>
          <w:p>
            <w:r>
              <w:t>❌ Direction technique (Almamy CAMARA) + porteur produit (Pauline LETOURNEUR)</w:t>
            </w:r>
          </w:p>
        </w:tc>
        <w:tc>
          <w:tcPr>
            <w:tcW w:type="dxa" w:w="2466"/>
          </w:tcPr>
          <w:p>
            <w:r>
              <w:t>Non</w:t>
            </w:r>
          </w:p>
        </w:tc>
      </w:tr>
    </w:tbl>
    <w:p/>
    <w:p>
      <w:r>
        <w:rPr>
          <w:b/>
        </w:rPr>
        <w:t>Rôles nommés pour ce projet</w:t>
      </w:r>
      <w:r>
        <w:rPr>
          <w:b w:val="0"/>
          <w:i w:val="0"/>
        </w:rPr>
        <w:t xml:space="preserve"> (communiqués le 2026-09-16) :</w:t>
      </w:r>
    </w:p>
    <w:p>
      <w:pPr>
        <w:pStyle w:val="Listepuces"/>
      </w:pPr>
      <w:r>
        <w:rPr>
          <w:b/>
        </w:rPr>
        <w:t>Direction technique</w:t>
      </w:r>
      <w:r>
        <w:t xml:space="preserve"> : Almamy CAMARA</w:t>
      </w:r>
    </w:p>
    <w:p>
      <w:pPr>
        <w:pStyle w:val="Listepuces"/>
      </w:pPr>
      <w:r>
        <w:rPr>
          <w:b/>
        </w:rPr>
        <w:t>Référent métier / fonctionnel</w:t>
      </w:r>
      <w:r>
        <w:t xml:space="preserve"> : James AHMEDALY, Nicolas SECK</w:t>
      </w:r>
    </w:p>
    <w:p>
      <w:pPr>
        <w:pStyle w:val="Listepuces"/>
      </w:pPr>
      <w:r>
        <w:rPr>
          <w:b/>
        </w:rPr>
        <w:t>Référent juridique</w:t>
      </w:r>
      <w:r>
        <w:t xml:space="preserve"> : Pauline LETOURNEUR</w:t>
      </w:r>
    </w:p>
    <w:p>
      <w:pPr>
        <w:pStyle w:val="Listepuces"/>
      </w:pPr>
      <w:r>
        <w:rPr>
          <w:b/>
        </w:rPr>
        <w:t>Porteur produit</w:t>
      </w:r>
      <w:r>
        <w:t xml:space="preserve"> : Pauline LETOURNEUR</w:t>
      </w:r>
    </w:p>
    <w:p>
      <w:r>
        <w:rPr>
          <w:b w:val="0"/>
          <w:i w:val="0"/>
        </w:rPr>
        <w:t>Le document ne devient opposable qu'une fois toutes les cases cochées par</w:t>
      </w:r>
    </w:p>
    <w:p>
      <w:r>
        <w:rPr>
          <w:b w:val="0"/>
          <w:i w:val="0"/>
        </w:rPr>
        <w:t>leurs pilotes respectifs.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Titre2"/>
      </w:pPr>
      <w:r>
        <w:t>Gabarit interne à chaque chapitre</w:t>
      </w:r>
    </w:p>
    <w:p>
      <w:r>
        <w:rPr>
          <w:b w:val="0"/>
          <w:i w:val="0"/>
        </w:rPr>
        <w:t xml:space="preserve">Chaque chapitre répond aux questions </w:t>
      </w:r>
      <w:r>
        <w:rPr>
          <w:b/>
        </w:rPr>
        <w:t>Pourquoi / Comment / Valeur</w:t>
      </w:r>
      <w:r>
        <w:rPr>
          <w:b w:val="0"/>
          <w:i w:val="0"/>
        </w:rPr>
        <w:t>, dans</w:t>
      </w:r>
    </w:p>
    <w:p>
      <w:r>
        <w:rPr>
          <w:b w:val="0"/>
          <w:i w:val="0"/>
        </w:rPr>
        <w:t>l'ordre : Introduction, Architecture, Fonctionnement, Interactions, Données,</w:t>
      </w:r>
    </w:p>
    <w:p>
      <w:r>
        <w:rPr>
          <w:b w:val="0"/>
          <w:i w:val="0"/>
        </w:rPr>
        <w:t>Limites et perspectives, Preuves.</w:t>
      </w:r>
    </w:p>
    <w:p>
      <w:pPr>
        <w:pStyle w:val="Titre2"/>
      </w:pPr>
      <w:r>
        <w:t>Chapitre 1 — Résumé exécutif</w:t>
      </w:r>
    </w:p>
    <w:p>
      <w:r>
        <w:rPr>
          <w:b/>
        </w:rPr>
        <w:t>Pilotes :</w:t>
      </w:r>
      <w:r>
        <w:rPr>
          <w:b w:val="0"/>
          <w:i w:val="0"/>
        </w:rPr>
        <w:t xml:space="preserve"> porteur produit (Pauline LETOURNEUR) + référents métier (James</w:t>
      </w:r>
    </w:p>
    <w:p>
      <w:r>
        <w:rPr>
          <w:b w:val="0"/>
          <w:i w:val="0"/>
        </w:rPr>
        <w:t>AHMEDALY, Nicolas SECK) — chapitre rédigé en dernier par construction ; ici</w:t>
      </w:r>
    </w:p>
    <w:p>
      <w:r>
        <w:rPr>
          <w:b w:val="0"/>
          <w:i w:val="0"/>
        </w:rPr>
        <w:t>amorcé par extraction, **à réécrire par ses pilotes une fois les chapitres 2 à</w:t>
      </w:r>
    </w:p>
    <w:p>
      <w:r>
        <w:rPr>
          <w:b w:val="0"/>
          <w:i w:val="0"/>
        </w:rPr>
        <w:t>7 stabilisés**.</w:t>
      </w:r>
    </w:p>
    <w:p>
      <w:pPr>
        <w:pStyle w:val="Titre3"/>
      </w:pPr>
      <w:r>
        <w:t>Introduction</w:t>
      </w:r>
    </w:p>
    <w:p>
      <w:r>
        <w:rPr>
          <w:b w:val="0"/>
          <w:i w:val="0"/>
        </w:rPr>
        <w:t>Le « Livre Blanc de la Paie » (LBP) est un projet porté par G2S visant à</w:t>
      </w:r>
    </w:p>
    <w:p>
      <w:r>
        <w:rPr>
          <w:b w:val="0"/>
          <w:i w:val="0"/>
        </w:rPr>
        <w:t>créer *« la plateforme de référence pour documenter et accompagner l'ensemble</w:t>
      </w:r>
    </w:p>
    <w:p>
      <w:r>
        <w:rPr>
          <w:b w:val="0"/>
          <w:i w:val="0"/>
        </w:rPr>
        <w:t>des professionnels de la paie et des ressources humaines »*, présentée en</w:t>
      </w:r>
    </w:p>
    <w:p>
      <w:r>
        <w:rPr>
          <w:b w:val="0"/>
          <w:i w:val="0"/>
        </w:rPr>
        <w:t xml:space="preserve">interne comme </w:t>
      </w:r>
      <w:r>
        <w:rPr>
          <w:i/>
        </w:rPr>
        <w:t>« la Bible des RH »</w:t>
      </w:r>
      <w:r>
        <w:rPr>
          <w:b w:val="0"/>
          <w:i w:val="0"/>
        </w:rPr>
        <w:t xml:space="preserve"> [Compte-rendu, p.3-4]. Il doit remplacer</w:t>
      </w:r>
    </w:p>
    <w:p>
      <w:r>
        <w:rPr>
          <w:b w:val="0"/>
          <w:i w:val="0"/>
        </w:rPr>
        <w:t>l'usage actuel de Notion, jugé non pérenne et peu personnalisable</w:t>
      </w:r>
    </w:p>
    <w:p>
      <w:r>
        <w:rPr>
          <w:b w:val="0"/>
          <w:i w:val="0"/>
        </w:rPr>
        <w:t xml:space="preserve">[Compte-rendu, p.3]. Livraison cible annoncée : </w:t>
      </w:r>
      <w:r>
        <w:rPr>
          <w:b/>
        </w:rPr>
        <w:t>20 octobre 2026</w:t>
      </w:r>
    </w:p>
    <w:p>
      <w:r>
        <w:rPr>
          <w:b w:val="0"/>
          <w:i w:val="0"/>
        </w:rPr>
        <w:t>[Compte-rendu, p.1, p.4, p.9]. Porteuse de projet désignée dans le</w:t>
      </w:r>
    </w:p>
    <w:p>
      <w:r>
        <w:rPr>
          <w:b w:val="0"/>
          <w:i w:val="0"/>
        </w:rPr>
        <w:t>compte-rendu : Pauline [Compte-rendu, p.1].</w:t>
      </w:r>
    </w:p>
    <w:p>
      <w:pPr>
        <w:pStyle w:val="Titre3"/>
      </w:pPr>
      <w:r>
        <w:t>Architecture — état du produit</w:t>
      </w:r>
    </w:p>
    <w:p>
      <w:r>
        <w:rPr>
          <w:b w:val="0"/>
          <w:i w:val="0"/>
        </w:rPr>
        <w:t>Le seul livrable technique actuellement disponible est un **prototype</w:t>
      </w:r>
    </w:p>
    <w:p>
      <w:r>
        <w:rPr>
          <w:b w:val="0"/>
          <w:i w:val="0"/>
        </w:rPr>
        <w:t xml:space="preserve">front-end autonome** : 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, un unique fichier HTML/CSS/JavaScript</w:t>
      </w:r>
    </w:p>
    <w:p>
      <w:r>
        <w:rPr>
          <w:b w:val="0"/>
          <w:i w:val="0"/>
        </w:rPr>
        <w:t>sans framework ni backend [Cahier des charges §3.1, p.15 ; confirmé par</w:t>
      </w:r>
    </w:p>
    <w:p>
      <w:r>
        <w:rPr>
          <w:b w:val="0"/>
          <w:i w:val="0"/>
        </w:rPr>
        <w:t>inspection directe du fichier]. Aucun code de back-office, base de données ou</w:t>
      </w:r>
    </w:p>
    <w:p>
      <w:r>
        <w:rPr>
          <w:b w:val="0"/>
          <w:i w:val="0"/>
        </w:rPr>
        <w:t>application mobile n'existe à ce jour dans le dossier de travail transmis.</w:t>
      </w:r>
    </w:p>
    <w:p>
      <w:pPr>
        <w:pStyle w:val="Titre3"/>
      </w:pPr>
      <w:r>
        <w:t>Fonctionnement — ce que le prototype démontre</w:t>
      </w:r>
    </w:p>
    <w:p>
      <w:r>
        <w:rPr>
          <w:b w:val="0"/>
          <w:i w:val="0"/>
        </w:rPr>
        <w:t>Le prototype couvre 13 écrans, une bibliothèque de **3 familles / 18 thèmes /</w:t>
      </w:r>
    </w:p>
    <w:p>
      <w:r>
        <w:rPr>
          <w:b w:val="0"/>
          <w:i w:val="0"/>
        </w:rPr>
        <w:t>139 sous-fiches</w:t>
      </w:r>
      <w:r>
        <w:rPr>
          <w:b/>
        </w:rPr>
        <w:t xml:space="preserve"> [Cahier des charges §1.4.1, p.9], </w:t>
      </w:r>
      <w:r>
        <w:rPr>
          <w:b w:val="0"/>
          <w:i w:val="0"/>
        </w:rPr>
        <w:t>4 offres commerciales**</w:t>
      </w:r>
    </w:p>
    <w:p>
      <w:r>
        <w:rPr>
          <w:b w:val="0"/>
          <w:i w:val="0"/>
        </w:rPr>
        <w:t>(de 149 € HT à « à partir de 990 € HT sur devis ») [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, objet</w:t>
      </w:r>
    </w:p>
    <w:p>
      <w:r>
        <w:rPr>
          <w:rFonts w:ascii="Consolas" w:hAnsi="Consolas"/>
        </w:rPr>
        <w:t>OFFERS</w:t>
      </w:r>
      <w:r>
        <w:rPr>
          <w:b w:val="0"/>
          <w:i w:val="0"/>
        </w:rPr>
        <w:t>, lignes 2566-2587], un calendrier RH avec moteur de dates couvrant</w:t>
      </w:r>
    </w:p>
    <w:p>
      <w:r>
        <w:rPr>
          <w:b/>
        </w:rPr>
        <w:t>~70 règles de récurrence produisant ~100 occurrences par an</w:t>
      </w:r>
      <w:r>
        <w:rPr>
          <w:b w:val="0"/>
          <w:i w:val="0"/>
        </w:rPr>
        <w:t xml:space="preserve"> [Cahier des</w:t>
      </w:r>
    </w:p>
    <w:p>
      <w:r>
        <w:rPr>
          <w:b w:val="0"/>
          <w:i w:val="0"/>
        </w:rPr>
        <w:t>charges §3.11.3, p.37], un module de veille réglementaire sur **7 sources</w:t>
      </w:r>
    </w:p>
    <w:p>
      <w:r>
        <w:rPr>
          <w:b w:val="0"/>
          <w:i w:val="0"/>
        </w:rPr>
        <w:t>officielles** (non automatisé à ce stade — voir Chapitre 6), un module quiz,</w:t>
      </w:r>
    </w:p>
    <w:p>
      <w:r>
        <w:rPr>
          <w:b w:val="0"/>
          <w:i w:val="0"/>
        </w:rPr>
        <w:t xml:space="preserve">et un organigramme avec </w:t>
      </w:r>
      <w:r>
        <w:rPr>
          <w:b/>
        </w:rPr>
        <w:t>124 avatars</w:t>
      </w:r>
      <w:r>
        <w:rPr>
          <w:b w:val="0"/>
          <w:i w:val="0"/>
        </w:rPr>
        <w:t xml:space="preserve"> illustrés [Cahier des charges §1.3.2,</w:t>
      </w:r>
    </w:p>
    <w:p>
      <w:r>
        <w:rPr>
          <w:b w:val="0"/>
          <w:i w:val="0"/>
        </w:rPr>
        <w:t>p.9].</w:t>
      </w:r>
    </w:p>
    <w:p>
      <w:pPr>
        <w:pStyle w:val="Titre3"/>
      </w:pPr>
      <w:r>
        <w:t>Données — chiffres clés vérifiables</w:t>
      </w:r>
    </w:p>
    <w:p>
      <w:r>
        <w:rPr>
          <w:b w:val="0"/>
          <w:i w:val="0"/>
        </w:rPr>
        <w:t>Repères paie intégrés au prototype, avec base légale citée dans le code</w:t>
      </w:r>
    </w:p>
    <w:p>
      <w:r>
        <w:rPr>
          <w:b w:val="0"/>
          <w:i w:val="0"/>
        </w:rPr>
        <w:t>[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 xml:space="preserve">, objet </w:t>
      </w:r>
      <w:r>
        <w:rPr>
          <w:rFonts w:ascii="Consolas" w:hAnsi="Consolas"/>
        </w:rPr>
        <w:t>CHIFFRES</w:t>
      </w:r>
      <w:r>
        <w:rPr>
          <w:b w:val="0"/>
          <w:i w:val="0"/>
        </w:rPr>
        <w:t>, lignes 2101-2127] :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Repère</w:t>
            </w:r>
          </w:p>
        </w:tc>
        <w:tc>
          <w:tcPr>
            <w:tcW w:type="dxa" w:w="3288"/>
          </w:tcPr>
          <w:p>
            <w:r>
              <w:rPr>
                <w:b/>
              </w:rPr>
              <w:t>Valeur 2026</w:t>
            </w:r>
          </w:p>
        </w:tc>
        <w:tc>
          <w:tcPr>
            <w:tcW w:type="dxa" w:w="3288"/>
          </w:tcPr>
          <w:p>
            <w:r>
              <w:rPr>
                <w:b/>
              </w:rPr>
              <w:t>Source citée dans le code</w:t>
            </w:r>
          </w:p>
        </w:tc>
      </w:tr>
      <w:tr>
        <w:tc>
          <w:tcPr>
            <w:tcW w:type="dxa" w:w="3288"/>
          </w:tcPr>
          <w:p>
            <w:r>
              <w:t>SMIC horaire brut (1er juin 2026)</w:t>
            </w:r>
          </w:p>
        </w:tc>
        <w:tc>
          <w:tcPr>
            <w:tcW w:type="dxa" w:w="3288"/>
          </w:tcPr>
          <w:p>
            <w:r>
              <w:t>12,31 €</w:t>
            </w:r>
          </w:p>
        </w:tc>
        <w:tc>
          <w:tcPr>
            <w:tcW w:type="dxa" w:w="3288"/>
          </w:tcPr>
          <w:p>
            <w:r>
              <w:t>Arrêté du 22 mai 2026 (JO du 24/05)</w:t>
            </w:r>
          </w:p>
        </w:tc>
      </w:tr>
      <w:tr>
        <w:tc>
          <w:tcPr>
            <w:tcW w:type="dxa" w:w="3288"/>
          </w:tcPr>
          <w:p>
            <w:r>
              <w:t>SMIC mensuel brut (35 h)</w:t>
            </w:r>
          </w:p>
        </w:tc>
        <w:tc>
          <w:tcPr>
            <w:tcW w:type="dxa" w:w="3288"/>
          </w:tcPr>
          <w:p>
            <w:r>
              <w:t>1 867,02 €</w:t>
            </w:r>
          </w:p>
        </w:tc>
        <w:tc>
          <w:tcPr>
            <w:tcW w:type="dxa" w:w="3288"/>
          </w:tcPr>
          <w:p>
            <w:r>
              <w:t>Idem</w:t>
            </w:r>
          </w:p>
        </w:tc>
      </w:tr>
      <w:tr>
        <w:tc>
          <w:tcPr>
            <w:tcW w:type="dxa" w:w="3288"/>
          </w:tcPr>
          <w:p>
            <w:r>
              <w:t>Plafond mensuel Sécurité sociale (PMSS)</w:t>
            </w:r>
          </w:p>
        </w:tc>
        <w:tc>
          <w:tcPr>
            <w:tcW w:type="dxa" w:w="3288"/>
          </w:tcPr>
          <w:p>
            <w:r>
              <w:t>4 005 €</w:t>
            </w:r>
          </w:p>
        </w:tc>
        <w:tc>
          <w:tcPr>
            <w:tcW w:type="dxa" w:w="3288"/>
          </w:tcPr>
          <w:p>
            <w:r>
              <w:t>Arrêté du 22 décembre 2025</w:t>
            </w:r>
          </w:p>
        </w:tc>
      </w:tr>
      <w:tr>
        <w:tc>
          <w:tcPr>
            <w:tcW w:type="dxa" w:w="3288"/>
          </w:tcPr>
          <w:p>
            <w:r>
              <w:t>Plafond annuel Sécurité sociale (PASS)</w:t>
            </w:r>
          </w:p>
        </w:tc>
        <w:tc>
          <w:tcPr>
            <w:tcW w:type="dxa" w:w="3288"/>
          </w:tcPr>
          <w:p>
            <w:r>
              <w:t>48 060 €</w:t>
            </w:r>
          </w:p>
        </w:tc>
        <w:tc>
          <w:tcPr>
            <w:tcW w:type="dxa" w:w="3288"/>
          </w:tcPr>
          <w:p>
            <w:r>
              <w:t>Idem</w:t>
            </w:r>
          </w:p>
        </w:tc>
      </w:tr>
    </w:tbl>
    <w:p/>
    <w:p>
      <w:r>
        <w:rPr>
          <w:b w:val="0"/>
          <w:i w:val="0"/>
        </w:rPr>
        <w:t>Ces valeurs sont codées en dur dans le prototype (aucune base de données) et</w:t>
      </w:r>
    </w:p>
    <w:p>
      <w:r>
        <w:rPr>
          <w:b w:val="0"/>
          <w:i w:val="0"/>
        </w:rPr>
        <w:t>devront être reprises dans le référentiel cible (Chapitre 4 et 7).</w:t>
      </w:r>
    </w:p>
    <w:p>
      <w:pPr>
        <w:pStyle w:val="Titre3"/>
      </w:pPr>
      <w:r>
        <w:t>Interactions — arbitrage produit en cours</w:t>
      </w:r>
    </w:p>
    <w:p>
      <w:r>
        <w:rPr>
          <w:b w:val="0"/>
          <w:i w:val="0"/>
        </w:rPr>
        <w:t>Un arbitrage MoSCoW (Must/Should/Could/Won't) des fonctionnalités a été</w:t>
      </w:r>
    </w:p>
    <w:p>
      <w:r>
        <w:rPr>
          <w:b w:val="0"/>
          <w:i w:val="0"/>
        </w:rPr>
        <w:t>annoncé pour « septembre 2026 » [Compte-rendu, p.9]. L'outil dédié existe</w:t>
      </w:r>
    </w:p>
    <w:p>
      <w:r>
        <w:rPr>
          <w:b w:val="0"/>
          <w:i w:val="0"/>
        </w:rPr>
        <w:t>(</w:t>
      </w:r>
      <w:r>
        <w:rPr>
          <w:rFonts w:ascii="Consolas" w:hAnsi="Consolas"/>
        </w:rPr>
        <w:t>moscow-lbp.html</w:t>
      </w:r>
      <w:r>
        <w:rPr>
          <w:b w:val="0"/>
          <w:i w:val="0"/>
        </w:rPr>
        <w:t>, 51 fonctionnalités cataloguées en 12 catégories) mais,</w:t>
      </w:r>
    </w:p>
    <w:p>
      <w:r>
        <w:rPr>
          <w:b w:val="0"/>
          <w:i w:val="0"/>
        </w:rPr>
        <w:t>dans le fichier fourni, **la totalité des 51 éléments est encore à l'état</w:t>
      </w:r>
    </w:p>
    <w:p>
      <w:r>
        <w:rPr>
          <w:b w:val="0"/>
          <w:i w:val="0"/>
        </w:rPr>
        <w:t>« backlog » (à trier)** — aucun n'est marqué Must, Should, Could ou Won't</w:t>
      </w:r>
    </w:p>
    <w:p>
      <w:r>
        <w:rPr>
          <w:b w:val="0"/>
          <w:i w:val="0"/>
        </w:rPr>
        <w:t>[</w:t>
      </w:r>
      <w:r>
        <w:rPr>
          <w:rFonts w:ascii="Consolas" w:hAnsi="Consolas"/>
        </w:rPr>
        <w:t>moscow-lbp.html</w:t>
      </w:r>
      <w:r>
        <w:rPr>
          <w:b w:val="0"/>
          <w:i w:val="0"/>
        </w:rPr>
        <w:t xml:space="preserve">, tableau </w:t>
      </w:r>
      <w:r>
        <w:rPr>
          <w:rFonts w:ascii="Consolas" w:hAnsi="Consolas"/>
        </w:rPr>
        <w:t>SEED_ITEMS</w:t>
      </w:r>
      <w:r>
        <w:rPr>
          <w:b w:val="0"/>
          <w:i w:val="0"/>
        </w:rPr>
        <w:t>, tous initialisés</w:t>
      </w:r>
    </w:p>
    <w:p>
      <w:r>
        <w:rPr>
          <w:rFonts w:ascii="Consolas" w:hAnsi="Consolas"/>
        </w:rPr>
        <w:t>priority:'backlog'</w:t>
      </w:r>
      <w:r>
        <w:rPr>
          <w:b w:val="0"/>
          <w:i w:val="0"/>
        </w:rPr>
        <w:t>, lignes 196-259]. **Le périmètre du MVP à livrer le</w:t>
      </w:r>
    </w:p>
    <w:p>
      <w:r>
        <w:rPr>
          <w:b w:val="0"/>
          <w:i w:val="0"/>
        </w:rPr>
        <w:t>20/10/2026 n'est donc pas encore arbitré** à la date de cette amorce.</w:t>
      </w:r>
    </w:p>
    <w:p>
      <w:pPr>
        <w:pStyle w:val="Titre3"/>
      </w:pPr>
      <w:r>
        <w:t>Limites et perspectives</w:t>
      </w:r>
    </w:p>
    <w:p>
      <w:r>
        <w:rPr>
          <w:b w:val="0"/>
          <w:i w:val="0"/>
        </w:rPr>
        <w:t>Le cahier des charges lui-même recense **17 points de risques ou travaux non</w:t>
      </w:r>
    </w:p>
    <w:p>
      <w:r>
        <w:rPr>
          <w:b w:val="0"/>
          <w:i w:val="0"/>
        </w:rPr>
        <w:t>finalisés** [Cahier des charges §6, p.33-36], dont trois qualifiés</w:t>
      </w:r>
    </w:p>
    <w:p>
      <w:r>
        <w:rPr>
          <w:b w:val="0"/>
          <w:i w:val="0"/>
        </w:rPr>
        <w:t>bloquants par nous sur la base de leur description (absence de persistance,</w:t>
      </w:r>
    </w:p>
    <w:p>
      <w:r>
        <w:rPr>
          <w:b w:val="0"/>
          <w:i w:val="0"/>
        </w:rPr>
        <w:t>authentification non opérationnelle, absence de cloisonnement multi-sociétés)</w:t>
      </w:r>
    </w:p>
    <w:p>
      <w:r>
        <w:rPr>
          <w:b w:val="0"/>
          <w:i w:val="0"/>
        </w:rPr>
        <w:t>— voir Chapitre 6 pour le détail et les preuves. Le compte-rendu de réunion</w:t>
      </w:r>
    </w:p>
    <w:p>
      <w:r>
        <w:rPr>
          <w:b w:val="0"/>
          <w:i w:val="0"/>
        </w:rPr>
        <w:t>qualifie lui-même le périmètre démontré de *« trop étendu pour cette phase</w:t>
      </w:r>
    </w:p>
    <w:p>
      <w:r>
        <w:rPr>
          <w:b w:val="0"/>
          <w:i w:val="0"/>
        </w:rPr>
        <w:t>initiale »* [Compte-rendu, p.5], ce qui corrobore la nécessité de l'arbitrage</w:t>
      </w:r>
    </w:p>
    <w:p>
      <w:r>
        <w:rPr>
          <w:b w:val="0"/>
          <w:i w:val="0"/>
        </w:rPr>
        <w:t>MoSCoW encore non réalisé.</w:t>
      </w:r>
    </w:p>
    <w:p>
      <w:r>
        <w:rPr>
          <w:b/>
        </w:rPr>
        <w:t>[À COMPLÉTER — porteur produit / référents métier]</w:t>
      </w:r>
      <w:r>
        <w:rPr>
          <w:b w:val="0"/>
          <w:i w:val="0"/>
        </w:rPr>
        <w:t xml:space="preserve"> : validation de cette</w:t>
      </w:r>
    </w:p>
    <w:p>
      <w:r>
        <w:rPr>
          <w:b w:val="0"/>
          <w:i w:val="0"/>
        </w:rPr>
        <w:t>synthèse, arbitrage du périmètre MVP réellement engagé pour le 20/10/2026,</w:t>
      </w:r>
    </w:p>
    <w:p>
      <w:r>
        <w:rPr>
          <w:b w:val="0"/>
          <w:i w:val="0"/>
        </w:rPr>
        <w:t>confirmation ou correction des chiffres ci-dessus.</w:t>
      </w:r>
    </w:p>
    <w:p>
      <w:pPr>
        <w:pStyle w:val="Titre3"/>
      </w:pPr>
      <w:r>
        <w:t>Preuves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ID</w:t>
            </w:r>
          </w:p>
        </w:tc>
        <w:tc>
          <w:tcPr>
            <w:tcW w:type="dxa" w:w="3288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3288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3288"/>
          </w:tcPr>
          <w:p>
            <w:r>
              <w:t>PR-C1-01</w:t>
            </w:r>
          </w:p>
        </w:tc>
        <w:tc>
          <w:tcPr>
            <w:tcW w:type="dxa" w:w="3288"/>
          </w:tcPr>
          <w:p>
            <w:r>
              <w:t>Vision produit et échéance de livraison</w:t>
            </w:r>
          </w:p>
        </w:tc>
        <w:tc>
          <w:tcPr>
            <w:tcW w:type="dxa" w:w="3288"/>
          </w:tcPr>
          <w:p>
            <w:r>
              <w:t>Compte-rendu, p.1, p.3-4, p.9</w:t>
            </w:r>
          </w:p>
        </w:tc>
      </w:tr>
      <w:tr>
        <w:tc>
          <w:tcPr>
            <w:tcW w:type="dxa" w:w="3288"/>
          </w:tcPr>
          <w:p>
            <w:r>
              <w:t>PR-C1-02</w:t>
            </w:r>
          </w:p>
        </w:tc>
        <w:tc>
          <w:tcPr>
            <w:tcW w:type="dxa" w:w="3288"/>
          </w:tcPr>
          <w:p>
            <w:r>
              <w:t>Périmètre fonctionnel du prototype (13 écrans, 18 thèmes, 139 sous-fiches)</w:t>
            </w:r>
          </w:p>
        </w:tc>
        <w:tc>
          <w:tcPr>
            <w:tcW w:type="dxa" w:w="3288"/>
          </w:tcPr>
          <w:p>
            <w:r>
              <w:t>Cahier des charges §1.4.1, p.9 ; `LBP_V2-20.html`</w:t>
            </w:r>
          </w:p>
        </w:tc>
      </w:tr>
      <w:tr>
        <w:tc>
          <w:tcPr>
            <w:tcW w:type="dxa" w:w="3288"/>
          </w:tcPr>
          <w:p>
            <w:r>
              <w:t>PR-C1-03</w:t>
            </w:r>
          </w:p>
        </w:tc>
        <w:tc>
          <w:tcPr>
            <w:tcW w:type="dxa" w:w="3288"/>
          </w:tcPr>
          <w:p>
            <w:r>
              <w:t>Offres commerciales</w:t>
            </w:r>
          </w:p>
        </w:tc>
        <w:tc>
          <w:tcPr>
            <w:tcW w:type="dxa" w:w="3288"/>
          </w:tcPr>
          <w:p>
            <w:r>
              <w:t>`LBP_V2-20.html`, lignes 2566-2587</w:t>
            </w:r>
          </w:p>
        </w:tc>
      </w:tr>
      <w:tr>
        <w:tc>
          <w:tcPr>
            <w:tcW w:type="dxa" w:w="3288"/>
          </w:tcPr>
          <w:p>
            <w:r>
              <w:t>PR-C1-04</w:t>
            </w:r>
          </w:p>
        </w:tc>
        <w:tc>
          <w:tcPr>
            <w:tcW w:type="dxa" w:w="3288"/>
          </w:tcPr>
          <w:p>
            <w:r>
              <w:t>Chiffres paie 2026 et sources légales</w:t>
            </w:r>
          </w:p>
        </w:tc>
        <w:tc>
          <w:tcPr>
            <w:tcW w:type="dxa" w:w="3288"/>
          </w:tcPr>
          <w:p>
            <w:r>
              <w:t>`LBP_V2-20.html`, lignes 2101-2127</w:t>
            </w:r>
          </w:p>
        </w:tc>
      </w:tr>
      <w:tr>
        <w:tc>
          <w:tcPr>
            <w:tcW w:type="dxa" w:w="3288"/>
          </w:tcPr>
          <w:p>
            <w:r>
              <w:t>PR-C1-05</w:t>
            </w:r>
          </w:p>
        </w:tc>
        <w:tc>
          <w:tcPr>
            <w:tcW w:type="dxa" w:w="3288"/>
          </w:tcPr>
          <w:p>
            <w:r>
              <w:t>Arbitrage MoSCoW non réalisé (51/51 en backlog)</w:t>
            </w:r>
          </w:p>
        </w:tc>
        <w:tc>
          <w:tcPr>
            <w:tcW w:type="dxa" w:w="3288"/>
          </w:tcPr>
          <w:p>
            <w:r>
              <w:t>`moscow-lbp.html`, lignes 196-259</w:t>
            </w:r>
          </w:p>
        </w:tc>
      </w:tr>
      <w:tr>
        <w:tc>
          <w:tcPr>
            <w:tcW w:type="dxa" w:w="3288"/>
          </w:tcPr>
          <w:p>
            <w:r>
              <w:t>PR-C1-06</w:t>
            </w:r>
          </w:p>
        </w:tc>
        <w:tc>
          <w:tcPr>
            <w:tcW w:type="dxa" w:w="3288"/>
          </w:tcPr>
          <w:p>
            <w:r>
              <w:t>17 points de risques déclarés</w:t>
            </w:r>
          </w:p>
        </w:tc>
        <w:tc>
          <w:tcPr>
            <w:tcW w:type="dxa" w:w="3288"/>
          </w:tcPr>
          <w:p>
            <w:r>
              <w:t>Cahier des charges §6, p.33-36</w:t>
            </w:r>
          </w:p>
        </w:tc>
      </w:tr>
    </w:tbl>
    <w:p/>
    <w:p>
      <w:pPr>
        <w:pStyle w:val="Titre2"/>
      </w:pPr>
      <w:r>
        <w:t>Chapitre 2 — Périmètre et positionnement</w:t>
      </w:r>
    </w:p>
    <w:p>
      <w:r>
        <w:rPr>
          <w:b/>
        </w:rPr>
        <w:t>Pilote :</w:t>
      </w:r>
      <w:r>
        <w:rPr>
          <w:b w:val="0"/>
          <w:i w:val="0"/>
        </w:rPr>
        <w:t xml:space="preserve"> référents métier/fonctionnel (James AHMEDALY, Nicolas SECK).</w:t>
      </w:r>
    </w:p>
    <w:p>
      <w:pPr>
        <w:pStyle w:val="Titre3"/>
      </w:pPr>
      <w:r>
        <w:t>Introduction</w:t>
      </w:r>
    </w:p>
    <w:p>
      <w:r>
        <w:rPr>
          <w:b w:val="0"/>
          <w:i w:val="0"/>
        </w:rPr>
        <w:t>Ce chapitre définit ce que le LBP adresse, pour qui, et — tout aussi</w:t>
      </w:r>
    </w:p>
    <w:p>
      <w:r>
        <w:rPr>
          <w:b w:val="0"/>
          <w:i w:val="0"/>
        </w:rPr>
        <w:t>important selon la norme — ce qu'il n'adresse explicitement pas à ce stade.</w:t>
      </w:r>
    </w:p>
    <w:p>
      <w:pPr>
        <w:pStyle w:val="Titre3"/>
      </w:pPr>
      <w:r>
        <w:t>Architecture fonctionnelle — cas d'usage couverts</w:t>
      </w:r>
    </w:p>
    <w:p>
      <w:r>
        <w:rPr>
          <w:b w:val="0"/>
          <w:i w:val="0"/>
        </w:rPr>
        <w:t>Le cahier des charges fonctionnel décrit, page par page, les modules suivants</w:t>
      </w:r>
    </w:p>
    <w:p>
      <w:r>
        <w:rPr>
          <w:b w:val="0"/>
          <w:i w:val="0"/>
        </w:rPr>
        <w:t>[Cahier des charges §1, p.8-13] :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288"/>
          </w:tcPr>
          <w:p>
            <w:r>
              <w:rPr>
                <w:b/>
              </w:rPr>
              <w:t>Contenu</w:t>
            </w:r>
          </w:p>
        </w:tc>
        <w:tc>
          <w:tcPr>
            <w:tcW w:type="dxa" w:w="3288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3288"/>
          </w:tcPr>
          <w:p>
            <w:r>
              <w:t>Accueil</w:t>
            </w:r>
          </w:p>
        </w:tc>
        <w:tc>
          <w:tcPr>
            <w:tcW w:type="dxa" w:w="3288"/>
          </w:tcPr>
          <w:p>
            <w:r>
              <w:t>Bandeau, rappels de semaine interactifs, calendrier compact, chiffres clés, deux blocs d'actualités, rappel des 3 familles de bibliothèque</w:t>
            </w:r>
          </w:p>
        </w:tc>
        <w:tc>
          <w:tcPr>
            <w:tcW w:type="dxa" w:w="3288"/>
          </w:tcPr>
          <w:p>
            <w:r>
              <w:t>§1.2, p.8-9</w:t>
            </w:r>
          </w:p>
        </w:tc>
      </w:tr>
      <w:tr>
        <w:tc>
          <w:tcPr>
            <w:tcW w:type="dxa" w:w="3288"/>
          </w:tcPr>
          <w:p>
            <w:r>
              <w:t>Mon équipe</w:t>
            </w:r>
          </w:p>
        </w:tc>
        <w:tc>
          <w:tcPr>
            <w:tcW w:type="dxa" w:w="3288"/>
          </w:tcPr>
          <w:p>
            <w:r>
              <w:t>Identité société, organigramme (124 avatars), organisation de la paie, outils RH, documents (CC, accords, grille de salaire)</w:t>
            </w:r>
          </w:p>
        </w:tc>
        <w:tc>
          <w:tcPr>
            <w:tcW w:type="dxa" w:w="3288"/>
          </w:tcPr>
          <w:p>
            <w:r>
              <w:t>§1.3, p.9</w:t>
            </w:r>
          </w:p>
        </w:tc>
      </w:tr>
      <w:tr>
        <w:tc>
          <w:tcPr>
            <w:tcW w:type="dxa" w:w="3288"/>
          </w:tcPr>
          <w:p>
            <w:r>
              <w:t>La bibliothèque</w:t>
            </w:r>
          </w:p>
        </w:tc>
        <w:tc>
          <w:tcPr>
            <w:tcW w:type="dxa" w:w="3288"/>
          </w:tcPr>
          <w:p>
            <w:r>
              <w:t>3 familles → 18 thèmes → 139 sous-fiches, fiche en 3 niveaux de lecture (En bref / Comprendre / Dans le détail) + vigilance + quiz</w:t>
            </w:r>
          </w:p>
        </w:tc>
        <w:tc>
          <w:tcPr>
            <w:tcW w:type="dxa" w:w="3288"/>
          </w:tcPr>
          <w:p>
            <w:r>
              <w:t>§1.4, p.9-10</w:t>
            </w:r>
          </w:p>
        </w:tc>
      </w:tr>
      <w:tr>
        <w:tc>
          <w:tcPr>
            <w:tcW w:type="dxa" w:w="3288"/>
          </w:tcPr>
          <w:p>
            <w:r>
              <w:t>Actu · Décrypt RH&amp;Paie</w:t>
            </w:r>
          </w:p>
        </w:tc>
        <w:tc>
          <w:tcPr>
            <w:tcW w:type="dxa" w:w="3288"/>
          </w:tcPr>
          <w:p>
            <w:r>
              <w:t>Grille d'articles/dossiers PDF, pagination 5/page, édition avec workflow brouillon→publication</w:t>
            </w:r>
          </w:p>
        </w:tc>
        <w:tc>
          <w:tcPr>
            <w:tcW w:type="dxa" w:w="3288"/>
          </w:tcPr>
          <w:p>
            <w:r>
              <w:t>§1.5, p.11</w:t>
            </w:r>
          </w:p>
        </w:tc>
      </w:tr>
      <w:tr>
        <w:tc>
          <w:tcPr>
            <w:tcW w:type="dxa" w:w="3288"/>
          </w:tcPr>
          <w:p>
            <w:r>
              <w:t>Chiffres Paie</w:t>
            </w:r>
          </w:p>
        </w:tc>
        <w:tc>
          <w:tcPr>
            <w:tcW w:type="dxa" w:w="3288"/>
          </w:tcPr>
          <w:p>
            <w:r>
              <w:t>Comparatif N-1→N, plafonds toutes périodicités, taux de cotisations</w:t>
            </w:r>
          </w:p>
        </w:tc>
        <w:tc>
          <w:tcPr>
            <w:tcW w:type="dxa" w:w="3288"/>
          </w:tcPr>
          <w:p>
            <w:r>
              <w:t>§1.6, p.11</w:t>
            </w:r>
          </w:p>
        </w:tc>
      </w:tr>
      <w:tr>
        <w:tc>
          <w:tcPr>
            <w:tcW w:type="dxa" w:w="3288"/>
          </w:tcPr>
          <w:p>
            <w:r>
              <w:t>Quizz</w:t>
            </w:r>
          </w:p>
        </w:tc>
        <w:tc>
          <w:tcPr>
            <w:tcW w:type="dxa" w:w="3288"/>
          </w:tcPr>
          <w:p>
            <w:r>
              <w:t>Quiz issus de fiches + quiz autonomes, import Word/texte au format normé</w:t>
            </w:r>
          </w:p>
        </w:tc>
        <w:tc>
          <w:tcPr>
            <w:tcW w:type="dxa" w:w="3288"/>
          </w:tcPr>
          <w:p>
            <w:r>
              <w:t>§1.7, p.11-12</w:t>
            </w:r>
          </w:p>
        </w:tc>
      </w:tr>
      <w:tr>
        <w:tc>
          <w:tcPr>
            <w:tcW w:type="dxa" w:w="3288"/>
          </w:tcPr>
          <w:p>
            <w:r>
              <w:t>Offres</w:t>
            </w:r>
          </w:p>
        </w:tc>
        <w:tc>
          <w:tcPr>
            <w:tcW w:type="dxa" w:w="3288"/>
          </w:tcPr>
          <w:p>
            <w:r>
              <w:t>Présentation et détail des 4 offres commerciales</w:t>
            </w:r>
          </w:p>
        </w:tc>
        <w:tc>
          <w:tcPr>
            <w:tcW w:type="dxa" w:w="3288"/>
          </w:tcPr>
          <w:p>
            <w:r>
              <w:t>§1.8, p.12</w:t>
            </w:r>
          </w:p>
        </w:tc>
      </w:tr>
      <w:tr>
        <w:tc>
          <w:tcPr>
            <w:tcW w:type="dxa" w:w="3288"/>
          </w:tcPr>
          <w:p>
            <w:r>
              <w:t>Veille réglementaire (mode G2S)</w:t>
            </w:r>
          </w:p>
        </w:tc>
        <w:tc>
          <w:tcPr>
            <w:tcW w:type="dxa" w:w="3288"/>
          </w:tcPr>
          <w:p>
            <w:r>
              <w:t>7 sources officielles suivies, rapprochement/création de fiche, notification quotidienne 10h30</w:t>
            </w:r>
          </w:p>
        </w:tc>
        <w:tc>
          <w:tcPr>
            <w:tcW w:type="dxa" w:w="3288"/>
          </w:tcPr>
          <w:p>
            <w:r>
              <w:t>§1.9, p.12</w:t>
            </w:r>
          </w:p>
        </w:tc>
      </w:tr>
      <w:tr>
        <w:tc>
          <w:tcPr>
            <w:tcW w:type="dxa" w:w="3288"/>
          </w:tcPr>
          <w:p>
            <w:r>
              <w:t>Prise en main</w:t>
            </w:r>
          </w:p>
        </w:tc>
        <w:tc>
          <w:tcPr>
            <w:tcW w:type="dxa" w:w="3288"/>
          </w:tcPr>
          <w:p>
            <w:r>
              <w:t>Aide contextuelle et bloc vidéo</w:t>
            </w:r>
          </w:p>
        </w:tc>
        <w:tc>
          <w:tcPr>
            <w:tcW w:type="dxa" w:w="3288"/>
          </w:tcPr>
          <w:p>
            <w:r>
              <w:t>§1.10, p.12</w:t>
            </w:r>
          </w:p>
        </w:tc>
      </w:tr>
      <w:tr>
        <w:tc>
          <w:tcPr>
            <w:tcW w:type="dxa" w:w="3288"/>
          </w:tcPr>
          <w:p>
            <w:r>
              <w:t>Mon compte</w:t>
            </w:r>
          </w:p>
        </w:tc>
        <w:tc>
          <w:tcPr>
            <w:tcW w:type="dxa" w:w="3288"/>
          </w:tcPr>
          <w:p>
            <w:r>
              <w:t>Infos perso, identifiants, préférences de notification</w:t>
            </w:r>
          </w:p>
        </w:tc>
        <w:tc>
          <w:tcPr>
            <w:tcW w:type="dxa" w:w="3288"/>
          </w:tcPr>
          <w:p>
            <w:r>
              <w:t>§1.11, p.12-13</w:t>
            </w:r>
          </w:p>
        </w:tc>
      </w:tr>
      <w:tr>
        <w:tc>
          <w:tcPr>
            <w:tcW w:type="dxa" w:w="3288"/>
          </w:tcPr>
          <w:p>
            <w:r>
              <w:t>Notifications</w:t>
            </w:r>
          </w:p>
        </w:tc>
        <w:tc>
          <w:tcPr>
            <w:tcW w:type="dxa" w:w="3288"/>
          </w:tcPr>
          <w:p>
            <w:r>
              <w:t>Cloche, deux audiences (client/G2S)</w:t>
            </w:r>
          </w:p>
        </w:tc>
        <w:tc>
          <w:tcPr>
            <w:tcW w:type="dxa" w:w="3288"/>
          </w:tcPr>
          <w:p>
            <w:r>
              <w:t>§1.12, p.13</w:t>
            </w:r>
          </w:p>
        </w:tc>
      </w:tr>
      <w:tr>
        <w:tc>
          <w:tcPr>
            <w:tcW w:type="dxa" w:w="3288"/>
          </w:tcPr>
          <w:p>
            <w:r>
              <w:t>Recherche globale</w:t>
            </w:r>
          </w:p>
        </w:tc>
        <w:tc>
          <w:tcPr>
            <w:tcW w:type="dxa" w:w="3288"/>
          </w:tcPr>
          <w:p>
            <w:r>
              <w:t>Recherche transversale LBP + liens sources officielles</w:t>
            </w:r>
          </w:p>
        </w:tc>
        <w:tc>
          <w:tcPr>
            <w:tcW w:type="dxa" w:w="3288"/>
          </w:tcPr>
          <w:p>
            <w:r>
              <w:t>§1.13, p.13</w:t>
            </w:r>
          </w:p>
        </w:tc>
      </w:tr>
      <w:tr>
        <w:tc>
          <w:tcPr>
            <w:tcW w:type="dxa" w:w="3288"/>
          </w:tcPr>
          <w:p>
            <w:r>
              <w:t>Assistance</w:t>
            </w:r>
          </w:p>
        </w:tc>
        <w:tc>
          <w:tcPr>
            <w:tcW w:type="dxa" w:w="3288"/>
          </w:tcPr>
          <w:p>
            <w:r>
              <w:t>Widget de chat</w:t>
            </w:r>
          </w:p>
        </w:tc>
        <w:tc>
          <w:tcPr>
            <w:tcW w:type="dxa" w:w="3288"/>
          </w:tcPr>
          <w:p>
            <w:r>
              <w:t>§1.14, p.13</w:t>
            </w:r>
          </w:p>
        </w:tc>
      </w:tr>
    </w:tbl>
    <w:p/>
    <w:p>
      <w:r>
        <w:rPr>
          <w:b w:val="0"/>
          <w:i w:val="0"/>
        </w:rPr>
        <w:t>Droits d'accès : matrice à deux modes (Client / G2S-éditeur) formalisée</w:t>
      </w:r>
    </w:p>
    <w:p>
      <w:r>
        <w:rPr>
          <w:b w:val="0"/>
          <w:i w:val="0"/>
        </w:rPr>
        <w:t>[Cahier des charges §2.1, p.14], avec principe de publication brouillon →</w:t>
      </w:r>
    </w:p>
    <w:p>
      <w:r>
        <w:rPr>
          <w:b w:val="0"/>
          <w:i w:val="0"/>
        </w:rPr>
        <w:t>publié déclenchant notification [§2.2, p.14].</w:t>
      </w:r>
    </w:p>
    <w:p>
      <w:pPr>
        <w:pStyle w:val="Titre3"/>
      </w:pPr>
      <w:r>
        <w:t>Fonctionnement — problème métier adressé</w:t>
      </w:r>
    </w:p>
    <w:p>
      <w:r>
        <w:rPr>
          <w:b w:val="0"/>
          <w:i w:val="0"/>
        </w:rPr>
        <w:t>*« Le Livre Blanc de la Paie vise à créer la plateforme de référence pour</w:t>
      </w:r>
    </w:p>
    <w:p>
      <w:r>
        <w:rPr>
          <w:b w:val="0"/>
          <w:i w:val="0"/>
        </w:rPr>
        <w:t>documenter et accompagner l'ensemble des professionnels de la paie et des</w:t>
      </w:r>
    </w:p>
    <w:p>
      <w:r>
        <w:rPr>
          <w:b w:val="0"/>
          <w:i w:val="0"/>
        </w:rPr>
        <w:t>ressources humaines »* [Compte-rendu, p.3]. Constat de départ : recours</w:t>
      </w:r>
    </w:p>
    <w:p>
      <w:r>
        <w:rPr>
          <w:b w:val="0"/>
          <w:i w:val="0"/>
        </w:rPr>
        <w:t>systématique à Notion, solution externe non propriétaire, jugée coûteuse et</w:t>
      </w:r>
    </w:p>
    <w:p>
      <w:r>
        <w:rPr>
          <w:b w:val="0"/>
          <w:i w:val="0"/>
        </w:rPr>
        <w:t>limitée en personnalisation [Compte-rendu, p.3].</w:t>
      </w:r>
    </w:p>
    <w:p>
      <w:pPr>
        <w:pStyle w:val="Titre3"/>
      </w:pPr>
      <w:r>
        <w:t>Interactions — un positionnement encore en discussion</w:t>
      </w:r>
    </w:p>
    <w:p>
      <w:r>
        <w:rPr>
          <w:b w:val="0"/>
          <w:i w:val="0"/>
        </w:rPr>
        <w:t xml:space="preserve">Deux sources donnent une image </w:t>
      </w:r>
      <w:r>
        <w:rPr>
          <w:b/>
        </w:rPr>
        <w:t>non totalement alignée</w:t>
      </w:r>
      <w:r>
        <w:rPr>
          <w:b w:val="0"/>
          <w:i w:val="0"/>
        </w:rPr>
        <w:t xml:space="preserve"> du modèle de</w:t>
      </w:r>
    </w:p>
    <w:p>
      <w:r>
        <w:rPr>
          <w:b w:val="0"/>
          <w:i w:val="0"/>
        </w:rPr>
        <w:t>droits, à faire trancher par les pilotes plutôt que résolue arbitrairement</w:t>
      </w:r>
    </w:p>
    <w:p>
      <w:r>
        <w:rPr>
          <w:b w:val="0"/>
          <w:i w:val="0"/>
        </w:rPr>
        <w:t>ici :</w:t>
      </w:r>
    </w:p>
    <w:p>
      <w:pPr>
        <w:pStyle w:val="Listepuces"/>
      </w:pPr>
      <w:r>
        <w:t>le cahier des charges du 7 août 2026 ne décrit que deux modes, Client et</w:t>
      </w:r>
    </w:p>
    <w:p>
      <w:r>
        <w:rPr>
          <w:b w:val="0"/>
          <w:i w:val="0"/>
        </w:rPr>
        <w:t xml:space="preserve">  G2S-éditeur [§2.1, p.14, §0.4, p.7] ;</w:t>
      </w:r>
    </w:p>
    <w:p>
      <w:pPr>
        <w:pStyle w:val="Listepuces"/>
      </w:pPr>
      <w:r>
        <w:t xml:space="preserve">le compte-rendu du 04/08/2026 anticipe déjà un modèle </w:t>
      </w:r>
      <w:r>
        <w:rPr>
          <w:b/>
        </w:rPr>
        <w:t>RBAC</w:t>
      </w:r>
      <w:r>
        <w:t xml:space="preserve"> plus fin à</w:t>
      </w:r>
    </w:p>
    <w:p>
      <w:r>
        <w:rPr>
          <w:b w:val="0"/>
          <w:i w:val="0"/>
        </w:rPr>
        <w:t xml:space="preserve">  deux rôles nommés différemment — </w:t>
      </w:r>
      <w:r>
        <w:rPr>
          <w:b/>
        </w:rPr>
        <w:t>ADMIN</w:t>
      </w:r>
      <w:r>
        <w:rPr>
          <w:b w:val="0"/>
          <w:i w:val="0"/>
        </w:rPr>
        <w:t xml:space="preserve"> (Pauline uniquement) et</w:t>
      </w:r>
    </w:p>
    <w:p>
      <w:r>
        <w:rPr>
          <w:b w:val="0"/>
          <w:i w:val="0"/>
        </w:rPr>
        <w:t xml:space="preserve">  </w:t>
      </w:r>
      <w:r>
        <w:rPr>
          <w:b/>
        </w:rPr>
        <w:t>CLIENT</w:t>
      </w:r>
      <w:r>
        <w:rPr>
          <w:b w:val="0"/>
          <w:i w:val="0"/>
        </w:rPr>
        <w:t xml:space="preserve"> (profils RH) — en précisant lui-même qu'un *« point de précision</w:t>
      </w:r>
    </w:p>
    <w:p>
      <w:r>
        <w:rPr>
          <w:b w:val="0"/>
          <w:i w:val="0"/>
        </w:rPr>
        <w:t xml:space="preserve">  [est] nécessaire pour définir la matrice exacte des droits »* [Compte-rendu,</w:t>
      </w:r>
    </w:p>
    <w:p>
      <w:r>
        <w:rPr>
          <w:b w:val="0"/>
          <w:i w:val="0"/>
        </w:rPr>
        <w:t xml:space="preserve">  p.7].</w:t>
      </w:r>
    </w:p>
    <w:p>
      <w:r>
        <w:rPr>
          <w:b/>
        </w:rPr>
        <w:t>Hors périmètre explicite</w:t>
      </w:r>
      <w:r>
        <w:rPr>
          <w:b w:val="0"/>
          <w:i w:val="0"/>
        </w:rPr>
        <w:t>, d'après le cahier des charges lui-même [§6.16,</w:t>
      </w:r>
    </w:p>
    <w:p>
      <w:r>
        <w:rPr>
          <w:b w:val="0"/>
          <w:i w:val="0"/>
        </w:rPr>
        <w:t>p.35-36] :</w:t>
      </w:r>
    </w:p>
    <w:p>
      <w:pPr>
        <w:pStyle w:val="Listepuces"/>
      </w:pPr>
      <w:r>
        <w:t>Facturation et paiement des abonnements (la souscription est traitée comme</w:t>
      </w:r>
    </w:p>
    <w:p>
      <w:r>
        <w:rPr>
          <w:b w:val="0"/>
          <w:i w:val="0"/>
        </w:rPr>
        <w:t xml:space="preserve">  un simple événement d'entrée ; le paiement est hors périmètre).</w:t>
      </w:r>
    </w:p>
    <w:p>
      <w:pPr>
        <w:pStyle w:val="Listepuces"/>
      </w:pPr>
      <w:r>
        <w:t>Statistiques d'usage (à définir avec G2S, avec précautions de</w:t>
      </w:r>
    </w:p>
    <w:p>
      <w:r>
        <w:rPr>
          <w:b w:val="0"/>
          <w:i w:val="0"/>
        </w:rPr>
        <w:t xml:space="preserve">  confidentialité).</w:t>
      </w:r>
    </w:p>
    <w:p>
      <w:pPr>
        <w:pStyle w:val="Listepuces"/>
      </w:pPr>
      <w:r>
        <w:t>Export PDF d'une fiche ou d'un ensemble de fiches (souhaitable, non</w:t>
      </w:r>
    </w:p>
    <w:p>
      <w:r>
        <w:rPr>
          <w:b w:val="0"/>
          <w:i w:val="0"/>
        </w:rPr>
        <w:t xml:space="preserve">  maquetté).</w:t>
      </w:r>
    </w:p>
    <w:p>
      <w:pPr>
        <w:pStyle w:val="Listepuces"/>
      </w:pPr>
      <w:r>
        <w:t>Gestion multilingue (produit conçu en français uniquement).</w:t>
      </w:r>
    </w:p>
    <w:p>
      <w:pPr>
        <w:pStyle w:val="Listepuces"/>
      </w:pPr>
      <w:r>
        <w:t>Signature électronique et flux contractuels.</w:t>
      </w:r>
    </w:p>
    <w:p>
      <w:r>
        <w:rPr>
          <w:b/>
        </w:rPr>
        <w:t>Hors périmètre non tranché</w:t>
      </w:r>
      <w:r>
        <w:rPr>
          <w:b w:val="0"/>
          <w:i w:val="0"/>
        </w:rPr>
        <w:t xml:space="preserve"> (constat, pas une décision) : le compte-rendu</w:t>
      </w:r>
    </w:p>
    <w:p>
      <w:r>
        <w:rPr>
          <w:b w:val="0"/>
          <w:i w:val="0"/>
        </w:rPr>
        <w:t>qualifie lui-même le périmètre actuellement démontré de *« trop étendu pour</w:t>
      </w:r>
    </w:p>
    <w:p>
      <w:r>
        <w:rPr>
          <w:b w:val="0"/>
          <w:i w:val="0"/>
        </w:rPr>
        <w:t>cette phase initiale »</w:t>
      </w:r>
      <w:r>
        <w:rPr>
          <w:i/>
        </w:rPr>
        <w:t xml:space="preserve">, nécessitant un </w:t>
      </w:r>
      <w:r>
        <w:rPr>
          <w:b w:val="0"/>
          <w:i w:val="0"/>
        </w:rPr>
        <w:t>« travail rigoureux de tri et de</w:t>
      </w:r>
    </w:p>
    <w:p>
      <w:r>
        <w:rPr>
          <w:b w:val="0"/>
          <w:i w:val="0"/>
        </w:rPr>
        <w:t>rationalisation des fonctionnalités [...] pour isoler le cœur de valeur »*</w:t>
      </w:r>
    </w:p>
    <w:p>
      <w:r>
        <w:rPr>
          <w:b w:val="0"/>
          <w:i w:val="0"/>
        </w:rPr>
        <w:t>[Compte-rendu, p.5]. L'outil de priorisation MoSCoW existe mais n'a pas encore</w:t>
      </w:r>
    </w:p>
    <w:p>
      <w:r>
        <w:rPr>
          <w:b w:val="0"/>
          <w:i w:val="0"/>
        </w:rPr>
        <w:t>été exécuté (voir Chapitre 1) : le frontière exacte du MVP livrable au</w:t>
      </w:r>
    </w:p>
    <w:p>
      <w:r>
        <w:rPr>
          <w:b w:val="0"/>
          <w:i w:val="0"/>
        </w:rPr>
        <w:t xml:space="preserve">20/10/2026 reste donc </w:t>
      </w:r>
      <w:r>
        <w:rPr>
          <w:b/>
        </w:rPr>
        <w:t>à définir par les référents métier</w:t>
      </w:r>
      <w:r>
        <w:rPr>
          <w:b w:val="0"/>
          <w:i w:val="0"/>
        </w:rPr>
        <w:t>, pas déductible</w:t>
      </w:r>
    </w:p>
    <w:p>
      <w:r>
        <w:rPr>
          <w:b w:val="0"/>
          <w:i w:val="0"/>
        </w:rPr>
        <w:t>des sources actuelles.</w:t>
      </w:r>
    </w:p>
    <w:p>
      <w:pPr>
        <w:pStyle w:val="Titre3"/>
      </w:pPr>
      <w:r>
        <w:t>Limites et perspectives</w:t>
      </w:r>
    </w:p>
    <w:p>
      <w:r>
        <w:rPr>
          <w:b w:val="0"/>
          <w:i w:val="0"/>
        </w:rPr>
        <w:t>Le compte-rendu identifie 3 fonctionnalités jugées prioritaires par les</w:t>
      </w:r>
    </w:p>
    <w:p>
      <w:r>
        <w:rPr>
          <w:b w:val="0"/>
          <w:i w:val="0"/>
        </w:rPr>
        <w:t>parties prenantes au 04/08/2026 (avant tout arbitrage MoSCoW formel) :</w:t>
      </w:r>
    </w:p>
    <w:p>
      <w:r>
        <w:rPr>
          <w:b/>
        </w:rPr>
        <w:t>Bibliothèque Synchro</w:t>
      </w:r>
      <w:r>
        <w:rPr>
          <w:b w:val="0"/>
          <w:i w:val="0"/>
        </w:rPr>
        <w:t xml:space="preserve">, </w:t>
      </w:r>
      <w:r>
        <w:rPr>
          <w:b/>
        </w:rPr>
        <w:t>Comptes Utilisateurs</w:t>
      </w:r>
      <w:r>
        <w:rPr>
          <w:b w:val="0"/>
          <w:i w:val="0"/>
        </w:rPr>
        <w:t xml:space="preserve">, </w:t>
      </w:r>
      <w:r>
        <w:rPr>
          <w:b/>
        </w:rPr>
        <w:t>REX &amp; Quizz Équipe</w:t>
      </w:r>
    </w:p>
    <w:p>
      <w:r>
        <w:rPr>
          <w:b w:val="0"/>
          <w:i w:val="0"/>
        </w:rPr>
        <w:t>[Compte-rendu, p.8]. Ces trois items ne préjugent pas du résultat de</w:t>
      </w:r>
    </w:p>
    <w:p>
      <w:r>
        <w:rPr>
          <w:b w:val="0"/>
          <w:i w:val="0"/>
        </w:rPr>
        <w:t>l'arbitrage MoSCoW à mener.</w:t>
      </w:r>
    </w:p>
    <w:p>
      <w:r>
        <w:rPr>
          <w:b/>
        </w:rPr>
        <w:t>[À COMPLÉTER — référents métier]</w:t>
      </w:r>
      <w:r>
        <w:rPr>
          <w:b w:val="0"/>
          <w:i w:val="0"/>
        </w:rPr>
        <w:t xml:space="preserve"> : trancher le modèle de rôles</w:t>
      </w:r>
    </w:p>
    <w:p>
      <w:r>
        <w:rPr>
          <w:b w:val="0"/>
          <w:i w:val="0"/>
        </w:rPr>
        <w:t>(2 modes vs RBAC fin), exécuter l'arbitrage MoSCoW, confirmer le périmètre du</w:t>
      </w:r>
    </w:p>
    <w:p>
      <w:r>
        <w:rPr>
          <w:b w:val="0"/>
          <w:i w:val="0"/>
        </w:rPr>
        <w:t>MVP du 20/10/2026.</w:t>
      </w:r>
    </w:p>
    <w:p>
      <w:pPr>
        <w:pStyle w:val="Titre3"/>
      </w:pPr>
      <w:r>
        <w:t>Preuves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ID</w:t>
            </w:r>
          </w:p>
        </w:tc>
        <w:tc>
          <w:tcPr>
            <w:tcW w:type="dxa" w:w="3288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3288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3288"/>
          </w:tcPr>
          <w:p>
            <w:r>
              <w:t>PR-C2-01</w:t>
            </w:r>
          </w:p>
        </w:tc>
        <w:tc>
          <w:tcPr>
            <w:tcW w:type="dxa" w:w="3288"/>
          </w:tcPr>
          <w:p>
            <w:r>
              <w:t>Cahier fonctionnel complet (§1.1 à §1.14)</w:t>
            </w:r>
          </w:p>
        </w:tc>
        <w:tc>
          <w:tcPr>
            <w:tcW w:type="dxa" w:w="3288"/>
          </w:tcPr>
          <w:p>
            <w:r>
              <w:t>Cahier des charges, p.8-13</w:t>
            </w:r>
          </w:p>
        </w:tc>
      </w:tr>
      <w:tr>
        <w:tc>
          <w:tcPr>
            <w:tcW w:type="dxa" w:w="3288"/>
          </w:tcPr>
          <w:p>
            <w:r>
              <w:t>PR-C2-02</w:t>
            </w:r>
          </w:p>
        </w:tc>
        <w:tc>
          <w:tcPr>
            <w:tcW w:type="dxa" w:w="3288"/>
          </w:tcPr>
          <w:p>
            <w:r>
              <w:t>Matrice des droits et principe de publication</w:t>
            </w:r>
          </w:p>
        </w:tc>
        <w:tc>
          <w:tcPr>
            <w:tcW w:type="dxa" w:w="3288"/>
          </w:tcPr>
          <w:p>
            <w:r>
              <w:t>Cahier des charges §2, p.14</w:t>
            </w:r>
          </w:p>
        </w:tc>
      </w:tr>
      <w:tr>
        <w:tc>
          <w:tcPr>
            <w:tcW w:type="dxa" w:w="3288"/>
          </w:tcPr>
          <w:p>
            <w:r>
              <w:t>PR-C2-03</w:t>
            </w:r>
          </w:p>
        </w:tc>
        <w:tc>
          <w:tcPr>
            <w:tcW w:type="dxa" w:w="3288"/>
          </w:tcPr>
          <w:p>
            <w:r>
              <w:t>Constat de périmètre trop étendu</w:t>
            </w:r>
          </w:p>
        </w:tc>
        <w:tc>
          <w:tcPr>
            <w:tcW w:type="dxa" w:w="3288"/>
          </w:tcPr>
          <w:p>
            <w:r>
              <w:t>Compte-rendu, p.5</w:t>
            </w:r>
          </w:p>
        </w:tc>
      </w:tr>
      <w:tr>
        <w:tc>
          <w:tcPr>
            <w:tcW w:type="dxa" w:w="3288"/>
          </w:tcPr>
          <w:p>
            <w:r>
              <w:t>PR-C2-04</w:t>
            </w:r>
          </w:p>
        </w:tc>
        <w:tc>
          <w:tcPr>
            <w:tcW w:type="dxa" w:w="3288"/>
          </w:tcPr>
          <w:p>
            <w:r>
              <w:t>Ambiguïté du modèle de rôles (2 modes vs RBAC)</w:t>
            </w:r>
          </w:p>
        </w:tc>
        <w:tc>
          <w:tcPr>
            <w:tcW w:type="dxa" w:w="3288"/>
          </w:tcPr>
          <w:p>
            <w:r>
              <w:t>Cahier des charges §2.1/§0.4 ; Compte-rendu p.7</w:t>
            </w:r>
          </w:p>
        </w:tc>
      </w:tr>
      <w:tr>
        <w:tc>
          <w:tcPr>
            <w:tcW w:type="dxa" w:w="3288"/>
          </w:tcPr>
          <w:p>
            <w:r>
              <w:t>PR-C2-05</w:t>
            </w:r>
          </w:p>
        </w:tc>
        <w:tc>
          <w:tcPr>
            <w:tcW w:type="dxa" w:w="3288"/>
          </w:tcPr>
          <w:p>
            <w:r>
              <w:t>Hors périmètre explicite (§6.16)</w:t>
            </w:r>
          </w:p>
        </w:tc>
        <w:tc>
          <w:tcPr>
            <w:tcW w:type="dxa" w:w="3288"/>
          </w:tcPr>
          <w:p>
            <w:r>
              <w:t>Cahier des charges, p.35-36</w:t>
            </w:r>
          </w:p>
        </w:tc>
      </w:tr>
      <w:tr>
        <w:tc>
          <w:tcPr>
            <w:tcW w:type="dxa" w:w="3288"/>
          </w:tcPr>
          <w:p>
            <w:r>
              <w:t>PR-C2-06</w:t>
            </w:r>
          </w:p>
        </w:tc>
        <w:tc>
          <w:tcPr>
            <w:tcW w:type="dxa" w:w="3288"/>
          </w:tcPr>
          <w:p>
            <w:r>
              <w:t>Arbitrage MoSCoW non exécuté</w:t>
            </w:r>
          </w:p>
        </w:tc>
        <w:tc>
          <w:tcPr>
            <w:tcW w:type="dxa" w:w="3288"/>
          </w:tcPr>
          <w:p>
            <w:r>
              <w:t>`moscow-lbp.html`, lignes 196-259</w:t>
            </w:r>
          </w:p>
        </w:tc>
      </w:tr>
    </w:tbl>
    <w:p/>
    <w:p>
      <w:pPr>
        <w:pStyle w:val="Titre2"/>
      </w:pPr>
      <w:r>
        <w:t>Chapitre 3 — Architecture technique</w:t>
      </w:r>
    </w:p>
    <w:p>
      <w:r>
        <w:rPr>
          <w:b/>
        </w:rPr>
        <w:t>Pilotes :</w:t>
      </w:r>
      <w:r>
        <w:rPr>
          <w:b w:val="0"/>
          <w:i w:val="0"/>
        </w:rPr>
        <w:t xml:space="preserve"> équipe dev — validation direction technique (Almamy CAMARA).</w:t>
      </w:r>
    </w:p>
    <w:p>
      <w:pPr>
        <w:pStyle w:val="Titre3"/>
      </w:pPr>
      <w:r>
        <w:t>Introduction</w:t>
      </w:r>
    </w:p>
    <w:p>
      <w:r>
        <w:rPr>
          <w:b w:val="0"/>
          <w:i w:val="0"/>
        </w:rPr>
        <w:t xml:space="preserve">Ce chapitre décrit l'architecture </w:t>
      </w:r>
      <w:r>
        <w:rPr>
          <w:b/>
        </w:rPr>
        <w:t>réellement observable</w:t>
      </w:r>
      <w:r>
        <w:rPr>
          <w:b w:val="0"/>
          <w:i w:val="0"/>
        </w:rPr>
        <w:t xml:space="preserve"> du prototype</w:t>
      </w:r>
    </w:p>
    <w:p>
      <w:r>
        <w:rPr>
          <w:b w:val="0"/>
          <w:i w:val="0"/>
        </w:rPr>
        <w:t>livré (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), et la met en regard de l'architecture cible décrite</w:t>
      </w:r>
    </w:p>
    <w:p>
      <w:r>
        <w:rPr>
          <w:b w:val="0"/>
          <w:i w:val="0"/>
        </w:rPr>
        <w:t>au cahier des charges. Aucun code de back-office, base de données ou</w:t>
      </w:r>
    </w:p>
    <w:p>
      <w:r>
        <w:rPr>
          <w:b w:val="0"/>
          <w:i w:val="0"/>
        </w:rPr>
        <w:t>application mobile n'existe dans les sources fournies : ce chapitre ne porte</w:t>
      </w:r>
    </w:p>
    <w:p>
      <w:r>
        <w:rPr>
          <w:b w:val="0"/>
          <w:i w:val="0"/>
        </w:rPr>
        <w:t>donc que sur le front-end prototype et sur des recommandations documentées</w:t>
      </w:r>
    </w:p>
    <w:p>
      <w:r>
        <w:rPr>
          <w:b w:val="0"/>
          <w:i w:val="0"/>
        </w:rPr>
        <w:t>mais non implémentées.</w:t>
      </w:r>
    </w:p>
    <w:p>
      <w:pPr>
        <w:pStyle w:val="Titre3"/>
      </w:pPr>
      <w:r>
        <w:t>Architecture — schéma directeur</w:t>
      </w:r>
    </w:p>
    <w:p>
      <w:r>
        <w:rPr>
          <w:i/>
          <w:sz w:val="18"/>
        </w:rPr>
        <w:t>Diagramme (source Mermaid, texte ci-dessous) :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flowchart TB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subgraph actuel["État actuel — prototype livré"]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H["LBP_V2-20.html\n(un seul fichier HTML/CSS/JS, ~3 400 lignes)\naucun framework, aucun build"]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H --&gt;|innerHTML| DOM["DOM du navigateur"]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H --&gt;|fetch POST /| NF["Formulaires Netlify\n(offre-lbp, contact-lbp)"]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H -.-&gt;|CDN externe| CDN["cdnjs : mammoth.js 1.6.0\nGoogle Fonts : Plus Jakarta Sans, Inter"]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subgraph cible["Architecture cible — cahier des charges §3.2-3.3"]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FE["Front web (React/Next.js recommandé)"]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MOB["App mobile (React Native/Flutter)"]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API["Back-office / API"]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DB[("Base de données\nSupabase/PostgreSQL + RLS")]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AUTH["Authentification\nSupabase Auth"]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CRON["Tâche planifiée veille 10h30\n(Netlify Scheduled Functions ou n8n)"]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NOTIF["E-mail + SMS\n(Brevo)"]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LEGI["API Légifrance/PISTE\n(OAuth2.0)"]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FE --&gt; API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MOB --&gt; API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API --&gt; DB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API --&gt; AUTH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CRON --&gt; LEGI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CRON --&gt; API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    CRON --&gt; NOTIF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actuel -. "reconstruction visée, aucun code cible fourni hormis annexes 5.1-5.7 du cahier" .-&gt; cible</w:t>
      </w:r>
    </w:p>
    <w:p/>
    <w:p>
      <w:r>
        <w:rPr>
          <w:b w:val="0"/>
          <w:i w:val="0"/>
        </w:rPr>
        <w:t>Sources : composition de l'existant établie par inspection directe de</w:t>
      </w:r>
    </w:p>
    <w:p>
      <w:r>
        <w:rPr>
          <w:rFonts w:ascii="Consolas" w:hAnsi="Consolas"/>
        </w:rPr>
        <w:t>LBP_V2-20.html</w:t>
      </w:r>
      <w:r>
        <w:rPr>
          <w:b w:val="0"/>
          <w:i w:val="0"/>
        </w:rPr>
        <w:t xml:space="preserve"> ; architecture cible reprise de [Cahier des charges §3.2-3.3,</w:t>
      </w:r>
    </w:p>
    <w:p>
      <w:r>
        <w:rPr>
          <w:b w:val="0"/>
          <w:i w:val="0"/>
        </w:rPr>
        <w:t>p.15].</w:t>
      </w:r>
    </w:p>
    <w:p>
      <w:pPr>
        <w:pStyle w:val="Titre3"/>
      </w:pPr>
      <w:r>
        <w:t>Fonctionnement — le prototype en détail</w:t>
      </w:r>
    </w:p>
    <w:p>
      <w:r>
        <w:rPr>
          <w:b/>
        </w:rPr>
        <w:t>Absence totale de framework et de build.</w:t>
      </w:r>
      <w:r>
        <w:rPr>
          <w:b w:val="0"/>
          <w:i w:val="0"/>
        </w:rPr>
        <w:t xml:space="preserve"> Un seul fichier HTML contient le</w:t>
      </w:r>
    </w:p>
    <w:p>
      <w:r>
        <w:rPr>
          <w:b w:val="0"/>
          <w:i w:val="0"/>
        </w:rPr>
        <w:t xml:space="preserve">balisage, tout le CSS (variables de thème en </w:t>
      </w:r>
      <w:r>
        <w:rPr>
          <w:rFonts w:ascii="Consolas" w:hAnsi="Consolas"/>
        </w:rPr>
        <w:t>:root</w:t>
      </w:r>
      <w:r>
        <w:rPr>
          <w:b w:val="0"/>
          <w:i w:val="0"/>
        </w:rPr>
        <w:t>) et tout le JavaScript</w:t>
      </w:r>
    </w:p>
    <w:p>
      <w:r>
        <w:rPr>
          <w:b w:val="0"/>
          <w:i w:val="0"/>
        </w:rPr>
        <w:t xml:space="preserve">(~3 400 lignes). Aucune dépendance </w:t>
      </w:r>
      <w:r>
        <w:rPr>
          <w:rFonts w:ascii="Consolas" w:hAnsi="Consolas"/>
        </w:rPr>
        <w:t>npm</w:t>
      </w:r>
      <w:r>
        <w:rPr>
          <w:b w:val="0"/>
          <w:i w:val="0"/>
        </w:rPr>
        <w:t>/</w:t>
      </w:r>
      <w:r>
        <w:rPr>
          <w:rFonts w:ascii="Consolas" w:hAnsi="Consolas"/>
        </w:rPr>
        <w:t>package.json</w:t>
      </w:r>
      <w:r>
        <w:rPr>
          <w:b w:val="0"/>
          <w:i w:val="0"/>
        </w:rPr>
        <w:t xml:space="preserve"> : la seule ressource</w:t>
      </w:r>
    </w:p>
    <w:p>
      <w:r>
        <w:rPr>
          <w:b w:val="0"/>
          <w:i w:val="0"/>
        </w:rPr>
        <w:t xml:space="preserve">externe chargée est </w:t>
      </w:r>
      <w:r>
        <w:rPr>
          <w:rFonts w:ascii="Consolas" w:hAnsi="Consolas"/>
        </w:rPr>
        <w:t>mammoth.js</w:t>
      </w:r>
      <w:r>
        <w:rPr>
          <w:b w:val="0"/>
          <w:i w:val="0"/>
        </w:rPr>
        <w:t xml:space="preserve"> (`cdnjs.cloudflare.com/ajax/libs/mammoth/</w:t>
      </w:r>
    </w:p>
    <w:p>
      <w:r>
        <w:rPr>
          <w:b w:val="0"/>
          <w:i w:val="0"/>
        </w:rPr>
        <w:t>1.6.0/mammoth.browser.min.js`, ligne 3223) pour l'import de fichiers Word, et</w:t>
      </w:r>
    </w:p>
    <w:p>
      <w:r>
        <w:rPr>
          <w:b w:val="0"/>
          <w:i w:val="0"/>
        </w:rPr>
        <w:t xml:space="preserve">les polices Google Fonts </w:t>
      </w:r>
      <w:r>
        <w:rPr>
          <w:i/>
        </w:rPr>
        <w:t>Plus Jakarta Sans</w:t>
      </w:r>
      <w:r>
        <w:rPr>
          <w:b w:val="0"/>
          <w:i w:val="0"/>
        </w:rPr>
        <w:t xml:space="preserve"> / </w:t>
      </w:r>
      <w:r>
        <w:rPr>
          <w:i/>
        </w:rPr>
        <w:t>Inter</w:t>
      </w:r>
      <w:r>
        <w:rPr>
          <w:b w:val="0"/>
          <w:i w:val="0"/>
        </w:rPr>
        <w:t>.</w:t>
      </w:r>
    </w:p>
    <w:p>
      <w:r>
        <w:rPr>
          <w:b/>
        </w:rPr>
        <w:t>Routage applicatif.</w:t>
      </w:r>
      <w:r>
        <w:rPr>
          <w:b w:val="0"/>
          <w:i w:val="0"/>
        </w:rPr>
        <w:t xml:space="preserve"> Chaque écran est un </w:t>
      </w:r>
      <w:r>
        <w:rPr>
          <w:rFonts w:ascii="Consolas" w:hAnsi="Consolas"/>
        </w:rPr>
        <w:t>&lt;div class="view" id="v-{nom}"&gt;</w:t>
      </w:r>
    </w:p>
    <w:p>
      <w:r>
        <w:rPr>
          <w:b w:val="0"/>
          <w:i w:val="0"/>
        </w:rPr>
        <w:t xml:space="preserve">; la fonction </w:t>
      </w:r>
      <w:r>
        <w:rPr>
          <w:rFonts w:ascii="Consolas" w:hAnsi="Consolas"/>
        </w:rPr>
        <w:t>goView(nom)</w:t>
      </w:r>
      <w:r>
        <w:rPr>
          <w:b w:val="0"/>
          <w:i w:val="0"/>
        </w:rPr>
        <w:t xml:space="preserve"> masque tous les écrans, affiche celui demandé, met</w:t>
      </w:r>
    </w:p>
    <w:p>
      <w:r>
        <w:rPr>
          <w:b w:val="0"/>
          <w:i w:val="0"/>
        </w:rPr>
        <w:t>à jour l'onglet actif de la barre de navigation et gère une pile d'historique</w:t>
      </w:r>
    </w:p>
    <w:p>
      <w:r>
        <w:rPr>
          <w:b w:val="0"/>
          <w:i w:val="0"/>
        </w:rPr>
        <w:t>pour le bouton retour (</w:t>
      </w:r>
      <w:r>
        <w:rPr>
          <w:rFonts w:ascii="Consolas" w:hAnsi="Consolas"/>
        </w:rPr>
        <w:t>viewHistory</w:t>
      </w:r>
      <w:r>
        <w:rPr>
          <w:b w:val="0"/>
          <w:i w:val="0"/>
        </w:rPr>
        <w:t xml:space="preserve">, ligne 1270). </w:t>
      </w:r>
      <w:r>
        <w:rPr>
          <w:b/>
        </w:rPr>
        <w:t>13 écrans</w:t>
      </w:r>
      <w:r>
        <w:rPr>
          <w:b w:val="0"/>
          <w:i w:val="0"/>
        </w:rPr>
        <w:t xml:space="preserve"> sont</w:t>
      </w:r>
    </w:p>
    <w:p>
      <w:r>
        <w:rPr>
          <w:b w:val="0"/>
          <w:i w:val="0"/>
        </w:rPr>
        <w:t>recensés : overview, documents, docdetail, biblio, fiche, decrypt, chiffres,</w:t>
      </w:r>
    </w:p>
    <w:p>
      <w:r>
        <w:rPr>
          <w:b w:val="0"/>
          <w:i w:val="0"/>
        </w:rPr>
        <w:t>quiz, offres, offre-detail, veille, help, account, search.</w:t>
      </w:r>
    </w:p>
    <w:p>
      <w:r>
        <w:rPr>
          <w:b/>
        </w:rPr>
        <w:t>Rendu.</w:t>
      </w:r>
      <w:r>
        <w:rPr>
          <w:b w:val="0"/>
          <w:i w:val="0"/>
        </w:rPr>
        <w:t xml:space="preserve"> Chaque écran est reconstruit à la demande par une fonction dédiée</w:t>
      </w:r>
    </w:p>
    <w:p>
      <w:r>
        <w:rPr>
          <w:b w:val="0"/>
          <w:i w:val="0"/>
        </w:rPr>
        <w:t>(</w:t>
      </w:r>
      <w:r>
        <w:rPr>
          <w:rFonts w:ascii="Consolas" w:hAnsi="Consolas"/>
        </w:rPr>
        <w:t>renderOverview()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renderBiblio()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renderChiffres()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renderVeille()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 xml:space="preserve">etc.) qui génère une chaîne HTML injectée via </w:t>
      </w:r>
      <w:r>
        <w:rPr>
          <w:rFonts w:ascii="Consolas" w:hAnsi="Consolas"/>
        </w:rPr>
        <w:t>innerHTML</w:t>
      </w:r>
      <w:r>
        <w:rPr>
          <w:b w:val="0"/>
          <w:i w:val="0"/>
        </w:rPr>
        <w:t xml:space="preserve"> — pas de</w:t>
      </w:r>
    </w:p>
    <w:p>
      <w:r>
        <w:rPr>
          <w:b w:val="0"/>
          <w:i w:val="0"/>
        </w:rPr>
        <w:t>composants, pas de diffing, pas de state manager. Ce choix explique</w:t>
      </w:r>
    </w:p>
    <w:p>
      <w:r>
        <w:rPr>
          <w:b w:val="0"/>
          <w:i w:val="0"/>
        </w:rPr>
        <w:t>l'absence totale de dépendance mais aussi l'absence de tout mécanisme de</w:t>
      </w:r>
    </w:p>
    <w:p>
      <w:r>
        <w:rPr>
          <w:b w:val="0"/>
          <w:i w:val="0"/>
        </w:rPr>
        <w:t>protection contre l'injection au-delà de la fonction d'échappement manuelle</w:t>
      </w:r>
    </w:p>
    <w:p>
      <w:r>
        <w:rPr>
          <w:rFonts w:ascii="Consolas" w:hAnsi="Consolas"/>
        </w:rPr>
        <w:t>escHtml()</w:t>
      </w:r>
      <w:r>
        <w:rPr>
          <w:b w:val="0"/>
          <w:i w:val="0"/>
        </w:rPr>
        <w:t>/</w:t>
      </w:r>
      <w:r>
        <w:rPr>
          <w:rFonts w:ascii="Consolas" w:hAnsi="Consolas"/>
        </w:rPr>
        <w:t>escAttr()</w:t>
      </w:r>
      <w:r>
        <w:rPr>
          <w:b w:val="0"/>
          <w:i w:val="0"/>
        </w:rPr>
        <w:t xml:space="preserve"> (lignes 2756, 2851), dont la couverture n'a pas été</w:t>
      </w:r>
    </w:p>
    <w:p>
      <w:r>
        <w:rPr>
          <w:b w:val="0"/>
          <w:i w:val="0"/>
        </w:rPr>
        <w:t>vérifiée systématiquement sur l'ensemble des points d'insertion.</w:t>
      </w:r>
    </w:p>
    <w:p>
      <w:r>
        <w:rPr>
          <w:b/>
        </w:rPr>
        <w:t>Modèle de permissions.</w:t>
      </w:r>
      <w:r>
        <w:rPr>
          <w:b w:val="0"/>
          <w:i w:val="0"/>
        </w:rPr>
        <w:t xml:space="preserve"> Une variable globale </w:t>
      </w:r>
      <w:r>
        <w:rPr>
          <w:rFonts w:ascii="Consolas" w:hAnsi="Consolas"/>
        </w:rPr>
        <w:t>appMode</w:t>
      </w:r>
      <w:r>
        <w:rPr>
          <w:b w:val="0"/>
          <w:i w:val="0"/>
        </w:rPr>
        <w:t xml:space="preserve"> (</w:t>
      </w:r>
      <w:r>
        <w:rPr>
          <w:rFonts w:ascii="Consolas" w:hAnsi="Consolas"/>
        </w:rPr>
        <w:t>'client'</w:t>
      </w:r>
      <w:r>
        <w:rPr>
          <w:b w:val="0"/>
          <w:i w:val="0"/>
        </w:rPr>
        <w:t xml:space="preserve"> |</w:t>
      </w:r>
    </w:p>
    <w:p>
      <w:r>
        <w:rPr>
          <w:rFonts w:ascii="Consolas" w:hAnsi="Consolas"/>
        </w:rPr>
        <w:t>'g2s'</w:t>
      </w:r>
      <w:r>
        <w:rPr>
          <w:b w:val="0"/>
          <w:i w:val="0"/>
        </w:rPr>
        <w:t>) pilote l'affichage. Le passage en mode G2S est gardé par une seule</w:t>
      </w:r>
    </w:p>
    <w:p>
      <w:r>
        <w:rPr>
          <w:b w:val="0"/>
          <w:i w:val="0"/>
        </w:rPr>
        <w:t xml:space="preserve">condition côté client : </w:t>
      </w:r>
      <w:r>
        <w:rPr>
          <w:rFonts w:ascii="Consolas" w:hAnsi="Consolas"/>
        </w:rPr>
        <w:t>PROFILES[profile].dir === true</w:t>
      </w:r>
    </w:p>
    <w:p>
      <w:r>
        <w:rPr>
          <w:b w:val="0"/>
          <w:i w:val="0"/>
        </w:rPr>
        <w:t>(</w:t>
      </w:r>
      <w:r>
        <w:rPr>
          <w:rFonts w:ascii="Consolas" w:hAnsi="Consolas"/>
        </w:rPr>
        <w:t>function setMode</w:t>
      </w:r>
      <w:r>
        <w:rPr>
          <w:b w:val="0"/>
          <w:i w:val="0"/>
        </w:rPr>
        <w:t xml:space="preserve">, ligne 1238-1239) — seul le profil </w:t>
      </w:r>
      <w:r>
        <w:rPr>
          <w:rFonts w:ascii="Consolas" w:hAnsi="Consolas"/>
        </w:rPr>
        <w:t>drh</w:t>
      </w:r>
      <w:r>
        <w:rPr>
          <w:b w:val="0"/>
          <w:i w:val="0"/>
        </w:rPr>
        <w:t xml:space="preserve"> (« Camille</w:t>
      </w:r>
    </w:p>
    <w:p>
      <w:r>
        <w:rPr>
          <w:b w:val="0"/>
          <w:i w:val="0"/>
        </w:rPr>
        <w:t xml:space="preserve">Moreau ») a </w:t>
      </w:r>
      <w:r>
        <w:rPr>
          <w:rFonts w:ascii="Consolas" w:hAnsi="Consolas"/>
        </w:rPr>
        <w:t>dir:true</w:t>
      </w:r>
      <w:r>
        <w:rPr>
          <w:b w:val="0"/>
          <w:i w:val="0"/>
        </w:rPr>
        <w:t xml:space="preserve"> (ligne 1186). **Il n'existe aucune vérification</w:t>
      </w:r>
    </w:p>
    <w:p>
      <w:r>
        <w:rPr>
          <w:b w:val="0"/>
          <w:i w:val="0"/>
        </w:rPr>
        <w:t>côté serveur** puisqu'il n'y a pas de serveur : n'importe quel utilisateur du</w:t>
      </w:r>
    </w:p>
    <w:p>
      <w:r>
        <w:rPr>
          <w:b w:val="0"/>
          <w:i w:val="0"/>
        </w:rPr>
        <w:t xml:space="preserve">navigateur peut modifier la variable JavaScript </w:t>
      </w:r>
      <w:r>
        <w:rPr>
          <w:rFonts w:ascii="Consolas" w:hAnsi="Consolas"/>
        </w:rPr>
        <w:t>profile</w:t>
      </w:r>
      <w:r>
        <w:rPr>
          <w:b w:val="0"/>
          <w:i w:val="0"/>
        </w:rPr>
        <w:t xml:space="preserve"> ou </w:t>
      </w:r>
      <w:r>
        <w:rPr>
          <w:rFonts w:ascii="Consolas" w:hAnsi="Consolas"/>
        </w:rPr>
        <w:t>appMode</w:t>
      </w:r>
    </w:p>
    <w:p>
      <w:r>
        <w:rPr>
          <w:b w:val="0"/>
          <w:i w:val="0"/>
        </w:rPr>
        <w:t>directement dans la console pour accéder au mode édition. Ce n'est pas un</w:t>
      </w:r>
    </w:p>
    <w:p>
      <w:r>
        <w:rPr>
          <w:b w:val="0"/>
          <w:i w:val="0"/>
        </w:rPr>
        <w:t>bug du prototype (qui n'a jamais eu vocation à porter une sécurité réelle),</w:t>
      </w:r>
    </w:p>
    <w:p>
      <w:r>
        <w:rPr>
          <w:b w:val="0"/>
          <w:i w:val="0"/>
        </w:rPr>
        <w:t>mais un point de vigilance explicite pour la reconstruction (Chapitre 5).</w:t>
      </w:r>
    </w:p>
    <w:p>
      <w:r>
        <w:rPr>
          <w:b/>
        </w:rPr>
        <w:t>Système commercial de paliers.</w:t>
      </w:r>
      <w:r>
        <w:rPr>
          <w:b w:val="0"/>
          <w:i w:val="0"/>
        </w:rPr>
        <w:t xml:space="preserve"> Une variable </w:t>
      </w:r>
      <w:r>
        <w:rPr>
          <w:rFonts w:ascii="Consolas" w:hAnsi="Consolas"/>
        </w:rPr>
        <w:t>tier</w:t>
      </w:r>
      <w:r>
        <w:rPr>
          <w:b w:val="0"/>
          <w:i w:val="0"/>
        </w:rPr>
        <w:t xml:space="preserve"> (1 à 4, ligne 1231)</w:t>
      </w:r>
    </w:p>
    <w:p>
      <w:r>
        <w:rPr>
          <w:b w:val="0"/>
          <w:i w:val="0"/>
        </w:rPr>
        <w:t>représente le palier souscrit. Les niveaux de lecture d'une fiche</w:t>
      </w:r>
    </w:p>
    <w:p>
      <w:r>
        <w:rPr>
          <w:b w:val="0"/>
          <w:i w:val="0"/>
        </w:rPr>
        <w:t>(</w:t>
      </w:r>
      <w:r>
        <w:rPr>
          <w:rFonts w:ascii="Consolas" w:hAnsi="Consolas"/>
        </w:rPr>
        <w:t>LEVELS</w:t>
      </w:r>
      <w:r>
        <w:rPr>
          <w:b w:val="0"/>
          <w:i w:val="0"/>
        </w:rPr>
        <w:t xml:space="preserve">, lignes 2478-2483) portent chacun un champ </w:t>
      </w:r>
      <w:r>
        <w:rPr>
          <w:rFonts w:ascii="Consolas" w:hAnsi="Consolas"/>
        </w:rPr>
        <w:t>req</w:t>
      </w:r>
      <w:r>
        <w:rPr>
          <w:b w:val="0"/>
          <w:i w:val="0"/>
        </w:rPr>
        <w:t xml:space="preserve"> (palier minimum</w:t>
      </w:r>
    </w:p>
    <w:p>
      <w:r>
        <w:rPr>
          <w:b w:val="0"/>
          <w:i w:val="0"/>
        </w:rPr>
        <w:t xml:space="preserve">requis) comparé à </w:t>
      </w:r>
      <w:r>
        <w:rPr>
          <w:rFonts w:ascii="Consolas" w:hAnsi="Consolas"/>
        </w:rPr>
        <w:t>tier</w:t>
      </w:r>
      <w:r>
        <w:rPr>
          <w:b w:val="0"/>
          <w:i w:val="0"/>
        </w:rPr>
        <w:t xml:space="preserve"> (</w:t>
      </w:r>
      <w:r>
        <w:rPr>
          <w:rFonts w:ascii="Consolas" w:hAnsi="Consolas"/>
        </w:rPr>
        <w:t>const locked = tier &lt; l.req</w:t>
      </w:r>
      <w:r>
        <w:rPr>
          <w:b w:val="0"/>
          <w:i w:val="0"/>
        </w:rPr>
        <w:t>, ligne 2523) pour</w:t>
      </w:r>
    </w:p>
    <w:p>
      <w:r>
        <w:rPr>
          <w:b w:val="0"/>
          <w:i w:val="0"/>
        </w:rPr>
        <w:t xml:space="preserve">verrouiller visuellement le contenu (icône 🔒, classe </w:t>
      </w:r>
      <w:r>
        <w:rPr>
          <w:rFonts w:ascii="Consolas" w:hAnsi="Consolas"/>
        </w:rPr>
        <w:t>.locked</w:t>
      </w:r>
      <w:r>
        <w:rPr>
          <w:b w:val="0"/>
          <w:i w:val="0"/>
        </w:rPr>
        <w:t>). Ce</w:t>
      </w:r>
    </w:p>
    <w:p>
      <w:r>
        <w:rPr>
          <w:b w:val="0"/>
          <w:i w:val="0"/>
        </w:rPr>
        <w:t>mécanisme est le seul verrou de contenu par offre commerciale présent dans le</w:t>
      </w:r>
    </w:p>
    <w:p>
      <w:r>
        <w:rPr>
          <w:b w:val="0"/>
          <w:i w:val="0"/>
        </w:rPr>
        <w:t>prototype.</w:t>
      </w:r>
    </w:p>
    <w:p>
      <w:r>
        <w:rPr>
          <w:b/>
        </w:rPr>
        <w:t>Design system.</w:t>
      </w:r>
      <w:r>
        <w:rPr>
          <w:b w:val="0"/>
          <w:i w:val="0"/>
        </w:rPr>
        <w:t xml:space="preserve"> Palette de couleurs et typographies définies en variables</w:t>
      </w:r>
    </w:p>
    <w:p>
      <w:r>
        <w:rPr>
          <w:b w:val="0"/>
          <w:i w:val="0"/>
        </w:rPr>
        <w:t xml:space="preserve">CSS </w:t>
      </w:r>
      <w:r>
        <w:rPr>
          <w:rFonts w:ascii="Consolas" w:hAnsi="Consolas"/>
        </w:rPr>
        <w:t>:root</w:t>
      </w:r>
      <w:r>
        <w:rPr>
          <w:b w:val="0"/>
          <w:i w:val="0"/>
        </w:rPr>
        <w:t>, avec le commentaire explicite dans le code : *« Palette</w:t>
      </w:r>
    </w:p>
    <w:p>
      <w:r>
        <w:rPr>
          <w:b w:val="0"/>
          <w:i w:val="0"/>
        </w:rPr>
        <w:t>strictement identique à lbp-vitrine.html — aucune couleur ajoutée »*</w:t>
      </w:r>
    </w:p>
    <w:p>
      <w:r>
        <w:rPr>
          <w:b w:val="0"/>
          <w:i w:val="0"/>
        </w:rPr>
        <w:t>(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, ligne 12), confirmant l'alignement demandé au cahier des</w:t>
      </w:r>
    </w:p>
    <w:p>
      <w:r>
        <w:rPr>
          <w:b w:val="0"/>
          <w:i w:val="0"/>
        </w:rPr>
        <w:t>charges [§3.9, p.17 : *« La charte est strictement alignée sur le site</w:t>
      </w:r>
    </w:p>
    <w:p>
      <w:r>
        <w:rPr>
          <w:b w:val="0"/>
          <w:i w:val="0"/>
        </w:rPr>
        <w:t>vitrine G2S »*]. Polices : Plus Jakarta Sans (titres, 500-800) et Inter</w:t>
      </w:r>
    </w:p>
    <w:p>
      <w:r>
        <w:rPr>
          <w:b w:val="0"/>
          <w:i w:val="0"/>
        </w:rPr>
        <w:t>(corps, 400-700).</w:t>
      </w:r>
    </w:p>
    <w:p>
      <w:pPr>
        <w:pStyle w:val="Titre3"/>
      </w:pPr>
      <w:r>
        <w:t>Interactions — les deux seuls flux réseau réels</w:t>
      </w:r>
    </w:p>
    <w:p>
      <w:r>
        <w:rPr>
          <w:b w:val="0"/>
          <w:i w:val="0"/>
        </w:rPr>
        <w:t>Le prototype n'appelle aucune API applicative. Il ne réalise que deux appels</w:t>
      </w:r>
    </w:p>
    <w:p>
      <w:r>
        <w:rPr>
          <w:b w:val="0"/>
          <w:i w:val="0"/>
        </w:rPr>
        <w:t xml:space="preserve">réseau, tous deux vers </w:t>
      </w:r>
      <w:r>
        <w:rPr>
          <w:rFonts w:ascii="Consolas" w:hAnsi="Consolas"/>
        </w:rPr>
        <w:t>/</w:t>
      </w:r>
      <w:r>
        <w:rPr>
          <w:b w:val="0"/>
          <w:i w:val="0"/>
        </w:rPr>
        <w:t xml:space="preserve"> en </w:t>
      </w:r>
      <w:r>
        <w:rPr>
          <w:rFonts w:ascii="Consolas" w:hAnsi="Consolas"/>
        </w:rPr>
        <w:t>POST</w:t>
      </w:r>
      <w:r>
        <w:rPr>
          <w:b w:val="0"/>
          <w:i w:val="0"/>
        </w:rPr>
        <w:t xml:space="preserve"> </w:t>
      </w:r>
      <w:r>
        <w:rPr>
          <w:rFonts w:ascii="Consolas" w:hAnsi="Consolas"/>
        </w:rPr>
        <w:t>application/x-www-form-urlencoded</w:t>
      </w:r>
    </w:p>
    <w:p>
      <w:r>
        <w:rPr>
          <w:b w:val="0"/>
          <w:i w:val="0"/>
        </w:rPr>
        <w:t xml:space="preserve">(convention </w:t>
      </w:r>
      <w:r>
        <w:rPr>
          <w:i/>
        </w:rPr>
        <w:t>Netlify Forms</w:t>
      </w:r>
      <w:r>
        <w:rPr>
          <w:b w:val="0"/>
          <w:i w:val="0"/>
        </w:rPr>
        <w:t>) :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Fonction</w:t>
            </w:r>
          </w:p>
        </w:tc>
        <w:tc>
          <w:tcPr>
            <w:tcW w:type="dxa" w:w="2466"/>
          </w:tcPr>
          <w:p>
            <w:r>
              <w:rPr>
                <w:b/>
              </w:rPr>
              <w:t>Formulaire</w:t>
            </w:r>
          </w:p>
        </w:tc>
        <w:tc>
          <w:tcPr>
            <w:tcW w:type="dxa" w:w="2466"/>
          </w:tcPr>
          <w:p>
            <w:r>
              <w:rPr>
                <w:b/>
              </w:rPr>
              <w:t>Données envoyées</w:t>
            </w:r>
          </w:p>
        </w:tc>
        <w:tc>
          <w:tcPr>
            <w:tcW w:type="dxa" w:w="2466"/>
          </w:tcPr>
          <w:p>
            <w:r>
              <w:rPr>
                <w:b/>
              </w:rPr>
              <w:t>Ligne</w:t>
            </w:r>
          </w:p>
        </w:tc>
      </w:tr>
      <w:tr>
        <w:tc>
          <w:tcPr>
            <w:tcW w:type="dxa" w:w="2466"/>
          </w:tcPr>
          <w:p>
            <w:r>
              <w:t>`sendOffreRequest()`</w:t>
            </w:r>
          </w:p>
        </w:tc>
        <w:tc>
          <w:tcPr>
            <w:tcW w:type="dxa" w:w="2466"/>
          </w:tcPr>
          <w:p>
            <w:r>
              <w:t>`offre-lbp`</w:t>
            </w:r>
          </w:p>
        </w:tc>
        <w:tc>
          <w:tcPr>
            <w:tcW w:type="dxa" w:w="2466"/>
          </w:tcPr>
          <w:p>
            <w:r>
              <w:t>prénom, e-mail, entreprise, offre demandée, type de demande</w:t>
            </w:r>
          </w:p>
        </w:tc>
        <w:tc>
          <w:tcPr>
            <w:tcW w:type="dxa" w:w="2466"/>
          </w:tcPr>
          <w:p>
            <w:r>
              <w:t>2700-2706</w:t>
            </w:r>
          </w:p>
        </w:tc>
      </w:tr>
      <w:tr>
        <w:tc>
          <w:tcPr>
            <w:tcW w:type="dxa" w:w="2466"/>
          </w:tcPr>
          <w:p>
            <w:r>
              <w:t>`sendChat()`</w:t>
            </w:r>
          </w:p>
        </w:tc>
        <w:tc>
          <w:tcPr>
            <w:tcW w:type="dxa" w:w="2466"/>
          </w:tcPr>
          <w:p>
            <w:r>
              <w:t>`contact-lbp`</w:t>
            </w:r>
          </w:p>
        </w:tc>
        <w:tc>
          <w:tcPr>
            <w:tcW w:type="dxa" w:w="2466"/>
          </w:tcPr>
          <w:p>
            <w:r>
              <w:t>prénom, e-mail, entreprise, message libre saisi dans le widget de chat</w:t>
            </w:r>
          </w:p>
        </w:tc>
        <w:tc>
          <w:tcPr>
            <w:tcW w:type="dxa" w:w="2466"/>
          </w:tcPr>
          <w:p>
            <w:r>
              <w:t>2737-2747</w:t>
            </w:r>
          </w:p>
        </w:tc>
      </w:tr>
    </w:tbl>
    <w:p/>
    <w:p>
      <w:r>
        <w:rPr>
          <w:b w:val="0"/>
          <w:i w:val="0"/>
        </w:rPr>
        <w:t>Ces deux flux sont les **seuls points où des données seraient réellement</w:t>
      </w:r>
    </w:p>
    <w:p>
      <w:r>
        <w:rPr>
          <w:b w:val="0"/>
          <w:i w:val="0"/>
        </w:rPr>
        <w:t>transmises hors du navigateur** si le prototype était déployé tel quel (voir</w:t>
      </w:r>
    </w:p>
    <w:p>
      <w:r>
        <w:rPr>
          <w:b w:val="0"/>
          <w:i w:val="0"/>
        </w:rPr>
        <w:t>Chapitre 5).</w:t>
      </w:r>
    </w:p>
    <w:p>
      <w:pPr>
        <w:pStyle w:val="Titre3"/>
      </w:pPr>
      <w:r>
        <w:t>Données — absence de persistance</w:t>
      </w:r>
    </w:p>
    <w:p>
      <w:r>
        <w:rPr>
          <w:b w:val="0"/>
          <w:i w:val="0"/>
        </w:rPr>
        <w:t xml:space="preserve">Aucun appel à </w:t>
      </w:r>
      <w:r>
        <w:rPr>
          <w:rFonts w:ascii="Consolas" w:hAnsi="Consolas"/>
        </w:rPr>
        <w:t>localStorage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sessionStorage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indexedDB</w:t>
      </w:r>
      <w:r>
        <w:rPr>
          <w:b w:val="0"/>
          <w:i w:val="0"/>
        </w:rPr>
        <w:t xml:space="preserve"> ou </w:t>
      </w:r>
      <w:r>
        <w:rPr>
          <w:rFonts w:ascii="Consolas" w:hAnsi="Consolas"/>
        </w:rPr>
        <w:t>fetch</w:t>
      </w:r>
      <w:r>
        <w:rPr>
          <w:b w:val="0"/>
          <w:i w:val="0"/>
        </w:rPr>
        <w:t xml:space="preserve"> vers</w:t>
      </w:r>
    </w:p>
    <w:p>
      <w:r>
        <w:rPr>
          <w:b w:val="0"/>
          <w:i w:val="0"/>
        </w:rPr>
        <w:t>une API de données n'existe dans le code (vérifié par recherche exhaustive</w:t>
      </w:r>
    </w:p>
    <w:p>
      <w:r>
        <w:rPr>
          <w:b w:val="0"/>
          <w:i w:val="0"/>
        </w:rPr>
        <w:t>sur l'ensemble du fichier). Toutes les données (fiches, articles, quiz,</w:t>
      </w:r>
    </w:p>
    <w:p>
      <w:r>
        <w:rPr>
          <w:b w:val="0"/>
          <w:i w:val="0"/>
        </w:rPr>
        <w:t>offres, chiffres, calendrier, organigramme, notifications) vivent dans des</w:t>
      </w:r>
    </w:p>
    <w:p>
      <w:r>
        <w:rPr>
          <w:b w:val="0"/>
          <w:i w:val="0"/>
        </w:rPr>
        <w:t>variables JavaScript globales (</w:t>
      </w:r>
      <w:r>
        <w:rPr>
          <w:rFonts w:ascii="Consolas" w:hAnsi="Consolas"/>
        </w:rPr>
        <w:t>FICHES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THEMES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SUBTHEMES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CHIFFRES</w:t>
      </w:r>
      <w:r>
        <w:rPr>
          <w:b w:val="0"/>
          <w:i w:val="0"/>
        </w:rPr>
        <w:t>,</w:t>
      </w:r>
    </w:p>
    <w:p>
      <w:r>
        <w:rPr>
          <w:rFonts w:ascii="Consolas" w:hAnsi="Consolas"/>
        </w:rPr>
        <w:t>OFFERS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TEAM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CAL_EVENTS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NOTIFS</w:t>
      </w:r>
      <w:r>
        <w:rPr>
          <w:b w:val="0"/>
          <w:i w:val="0"/>
        </w:rPr>
        <w:t>, etc. — inventaire complet en</w:t>
      </w:r>
    </w:p>
    <w:p>
      <w:r>
        <w:rPr>
          <w:b w:val="0"/>
          <w:i w:val="0"/>
        </w:rPr>
        <w:t>Chapitre 4 §Référentiels) réinitialisées à chaque rechargement de page. Ceci</w:t>
      </w:r>
    </w:p>
    <w:p>
      <w:r>
        <w:rPr>
          <w:b w:val="0"/>
          <w:i w:val="0"/>
        </w:rPr>
        <w:t>confirme intégralement le constat du cahier des charges [§3.1, p.15 et §6.2,</w:t>
      </w:r>
    </w:p>
    <w:p>
      <w:r>
        <w:rPr>
          <w:b w:val="0"/>
          <w:i w:val="0"/>
        </w:rPr>
        <w:t>p.33].</w:t>
      </w:r>
    </w:p>
    <w:p>
      <w:pPr>
        <w:pStyle w:val="Titre3"/>
      </w:pPr>
      <w:r>
        <w:t>Limites et perspectives</w:t>
      </w:r>
    </w:p>
    <w:p>
      <w:r>
        <w:rPr>
          <w:b w:val="0"/>
          <w:i w:val="0"/>
        </w:rPr>
        <w:t>La reconstruction en architecture cible (front web + mobile + back-office +</w:t>
      </w:r>
    </w:p>
    <w:p>
      <w:r>
        <w:rPr>
          <w:b w:val="0"/>
          <w:i w:val="0"/>
        </w:rPr>
        <w:t xml:space="preserve">base de données, cf. schéma ci-dessus) est </w:t>
      </w:r>
      <w:r>
        <w:rPr>
          <w:b/>
        </w:rPr>
        <w:t>entièrement à faire</w:t>
      </w:r>
      <w:r>
        <w:rPr>
          <w:b w:val="0"/>
          <w:i w:val="0"/>
        </w:rPr>
        <w:t xml:space="preserve"> : aucun</w:t>
      </w:r>
    </w:p>
    <w:p>
      <w:r>
        <w:rPr>
          <w:b w:val="0"/>
          <w:i w:val="0"/>
        </w:rPr>
        <w:t>code applicatif cible n'a été retrouvé dans les sources, à l'exception du</w:t>
      </w:r>
    </w:p>
    <w:p>
      <w:r>
        <w:rPr>
          <w:b w:val="0"/>
          <w:i w:val="0"/>
        </w:rPr>
        <w:t>code d'automatisation de veille et d'authentification annoncé en annexes</w:t>
      </w:r>
    </w:p>
    <w:p>
      <w:r>
        <w:rPr>
          <w:b w:val="0"/>
          <w:i w:val="0"/>
        </w:rPr>
        <w:t>5.1 à 5.7 du cahier des charges (non présent physiquement dans le dossier de</w:t>
      </w:r>
    </w:p>
    <w:p>
      <w:r>
        <w:rPr>
          <w:b w:val="0"/>
          <w:i w:val="0"/>
        </w:rPr>
        <w:t xml:space="preserve">travail transmis — fichiers </w:t>
      </w:r>
      <w:r>
        <w:rPr>
          <w:rFonts w:ascii="Consolas" w:hAnsi="Consolas"/>
        </w:rPr>
        <w:t>veille-quotidienne.mjs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netlify.toml</w:t>
      </w:r>
      <w:r>
        <w:rPr>
          <w:b w:val="0"/>
          <w:i w:val="0"/>
        </w:rPr>
        <w:t>,</w:t>
      </w:r>
    </w:p>
    <w:p>
      <w:r>
        <w:rPr>
          <w:rFonts w:ascii="Consolas" w:hAnsi="Consolas"/>
        </w:rPr>
        <w:t>AUTH_*</w:t>
      </w:r>
      <w:r>
        <w:rPr>
          <w:b w:val="0"/>
          <w:i w:val="0"/>
        </w:rPr>
        <w:t xml:space="preserve"> absents du répertoire à la date de cette amorce). **Aucune</w:t>
      </w:r>
    </w:p>
    <w:p>
      <w:r>
        <w:rPr>
          <w:rFonts w:ascii="Consolas" w:hAnsi="Consolas"/>
        </w:rPr>
        <w:t>SPEC-FRONT-0001</w:t>
      </w:r>
      <w:r>
        <w:rPr>
          <w:b w:val="0"/>
          <w:i w:val="0"/>
        </w:rPr>
        <w:t xml:space="preserve"> n'existe** pour documenter exhaustivement le design system</w:t>
      </w:r>
    </w:p>
    <w:p>
      <w:r>
        <w:rPr>
          <w:b w:val="0"/>
          <w:i w:val="0"/>
        </w:rPr>
        <w:t>et les composants du prototype ; ce cahier n'en tient lieu qu'en synthèse</w:t>
      </w:r>
    </w:p>
    <w:p>
      <w:r>
        <w:rPr>
          <w:b w:val="0"/>
          <w:i w:val="0"/>
        </w:rPr>
        <w:t>gouvernance, pas en référence technique complète (recommandation en</w:t>
      </w:r>
    </w:p>
    <w:p>
      <w:r>
        <w:rPr>
          <w:b w:val="0"/>
          <w:i w:val="0"/>
        </w:rPr>
        <w:t>Chapitre 7).</w:t>
      </w:r>
    </w:p>
    <w:p>
      <w:pPr>
        <w:pStyle w:val="Titre3"/>
      </w:pPr>
      <w:r>
        <w:t>Preuves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ID</w:t>
            </w:r>
          </w:p>
        </w:tc>
        <w:tc>
          <w:tcPr>
            <w:tcW w:type="dxa" w:w="3288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3288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3288"/>
          </w:tcPr>
          <w:p>
            <w:r>
              <w:t>PR-C3-01</w:t>
            </w:r>
          </w:p>
        </w:tc>
        <w:tc>
          <w:tcPr>
            <w:tcW w:type="dxa" w:w="3288"/>
          </w:tcPr>
          <w:p>
            <w:r>
              <w:t>Absence de framework, dépendance unique mammoth.js</w:t>
            </w:r>
          </w:p>
        </w:tc>
        <w:tc>
          <w:tcPr>
            <w:tcW w:type="dxa" w:w="3288"/>
          </w:tcPr>
          <w:p>
            <w:r>
              <w:t>`LBP_V2-20.html`, ligne 3223</w:t>
            </w:r>
          </w:p>
        </w:tc>
      </w:tr>
      <w:tr>
        <w:tc>
          <w:tcPr>
            <w:tcW w:type="dxa" w:w="3288"/>
          </w:tcPr>
          <w:p>
            <w:r>
              <w:t>PR-C3-02</w:t>
            </w:r>
          </w:p>
        </w:tc>
        <w:tc>
          <w:tcPr>
            <w:tcW w:type="dxa" w:w="3288"/>
          </w:tcPr>
          <w:p>
            <w:r>
              <w:t>13 écrans et fonction de routage `goView()`</w:t>
            </w:r>
          </w:p>
        </w:tc>
        <w:tc>
          <w:tcPr>
            <w:tcW w:type="dxa" w:w="3288"/>
          </w:tcPr>
          <w:p>
            <w:r>
              <w:t>`LBP_V2-20.html`, lignes 1031-1270</w:t>
            </w:r>
          </w:p>
        </w:tc>
      </w:tr>
      <w:tr>
        <w:tc>
          <w:tcPr>
            <w:tcW w:type="dxa" w:w="3288"/>
          </w:tcPr>
          <w:p>
            <w:r>
              <w:t>PR-C3-03</w:t>
            </w:r>
          </w:p>
        </w:tc>
        <w:tc>
          <w:tcPr>
            <w:tcW w:type="dxa" w:w="3288"/>
          </w:tcPr>
          <w:p>
            <w:r>
              <w:t>Garde de mode G2S côté client uniquement</w:t>
            </w:r>
          </w:p>
        </w:tc>
        <w:tc>
          <w:tcPr>
            <w:tcW w:type="dxa" w:w="3288"/>
          </w:tcPr>
          <w:p>
            <w:r>
              <w:t>`LBP_V2-20.html`, lignes 1185-1239</w:t>
            </w:r>
          </w:p>
        </w:tc>
      </w:tr>
      <w:tr>
        <w:tc>
          <w:tcPr>
            <w:tcW w:type="dxa" w:w="3288"/>
          </w:tcPr>
          <w:p>
            <w:r>
              <w:t>PR-C3-04</w:t>
            </w:r>
          </w:p>
        </w:tc>
        <w:tc>
          <w:tcPr>
            <w:tcW w:type="dxa" w:w="3288"/>
          </w:tcPr>
          <w:p>
            <w:r>
              <w:t>Verrouillage de contenu par palier commercial</w:t>
            </w:r>
          </w:p>
        </w:tc>
        <w:tc>
          <w:tcPr>
            <w:tcW w:type="dxa" w:w="3288"/>
          </w:tcPr>
          <w:p>
            <w:r>
              <w:t>`LBP_V2-20.html`, lignes 2478-2523</w:t>
            </w:r>
          </w:p>
        </w:tc>
      </w:tr>
      <w:tr>
        <w:tc>
          <w:tcPr>
            <w:tcW w:type="dxa" w:w="3288"/>
          </w:tcPr>
          <w:p>
            <w:r>
              <w:t>PR-C3-05</w:t>
            </w:r>
          </w:p>
        </w:tc>
        <w:tc>
          <w:tcPr>
            <w:tcW w:type="dxa" w:w="3288"/>
          </w:tcPr>
          <w:p>
            <w:r>
              <w:t>Alignement charte graphique sur le site vitrine G2S</w:t>
            </w:r>
          </w:p>
        </w:tc>
        <w:tc>
          <w:tcPr>
            <w:tcW w:type="dxa" w:w="3288"/>
          </w:tcPr>
          <w:p>
            <w:r>
              <w:t>`LBP_V2-20.html`, ligne 12 ; Cahier des charges §3.9, p.17</w:t>
            </w:r>
          </w:p>
        </w:tc>
      </w:tr>
      <w:tr>
        <w:tc>
          <w:tcPr>
            <w:tcW w:type="dxa" w:w="3288"/>
          </w:tcPr>
          <w:p>
            <w:r>
              <w:t>PR-C3-06</w:t>
            </w:r>
          </w:p>
        </w:tc>
        <w:tc>
          <w:tcPr>
            <w:tcW w:type="dxa" w:w="3288"/>
          </w:tcPr>
          <w:p>
            <w:r>
              <w:t>Deux flux réseau réels (Netlify Forms)</w:t>
            </w:r>
          </w:p>
        </w:tc>
        <w:tc>
          <w:tcPr>
            <w:tcW w:type="dxa" w:w="3288"/>
          </w:tcPr>
          <w:p>
            <w:r>
              <w:t>`LBP_V2-20.html`, lignes 2700-2747</w:t>
            </w:r>
          </w:p>
        </w:tc>
      </w:tr>
      <w:tr>
        <w:tc>
          <w:tcPr>
            <w:tcW w:type="dxa" w:w="3288"/>
          </w:tcPr>
          <w:p>
            <w:r>
              <w:t>PR-C3-07</w:t>
            </w:r>
          </w:p>
        </w:tc>
        <w:tc>
          <w:tcPr>
            <w:tcW w:type="dxa" w:w="3288"/>
          </w:tcPr>
          <w:p>
            <w:r>
              <w:t>Absence de toute persistance (`localStorage`/`fetch` de données)</w:t>
            </w:r>
          </w:p>
        </w:tc>
        <w:tc>
          <w:tcPr>
            <w:tcW w:type="dxa" w:w="3288"/>
          </w:tcPr>
          <w:p>
            <w:r>
              <w:t>Recherche exhaustive sur `LBP_V2-20.html` ; Cahier des charges §3.1/§6.2, p.15/p.33</w:t>
            </w:r>
          </w:p>
        </w:tc>
      </w:tr>
      <w:tr>
        <w:tc>
          <w:tcPr>
            <w:tcW w:type="dxa" w:w="3288"/>
          </w:tcPr>
          <w:p>
            <w:r>
              <w:t>PR-C3-08</w:t>
            </w:r>
          </w:p>
        </w:tc>
        <w:tc>
          <w:tcPr>
            <w:tcW w:type="dxa" w:w="3288"/>
          </w:tcPr>
          <w:p>
            <w:r>
              <w:t>Architecture cible proposée</w:t>
            </w:r>
          </w:p>
        </w:tc>
        <w:tc>
          <w:tcPr>
            <w:tcW w:type="dxa" w:w="3288"/>
          </w:tcPr>
          <w:p>
            <w:r>
              <w:t>Cahier des charges §3.2-3.3, p.15</w:t>
            </w:r>
          </w:p>
        </w:tc>
      </w:tr>
      <w:tr>
        <w:tc>
          <w:tcPr>
            <w:tcW w:type="dxa" w:w="3288"/>
          </w:tcPr>
          <w:p>
            <w:r>
              <w:t>PR-C3-09</w:t>
            </w:r>
          </w:p>
        </w:tc>
        <w:tc>
          <w:tcPr>
            <w:tcW w:type="dxa" w:w="3288"/>
          </w:tcPr>
          <w:p>
            <w:r>
              <w:t>Annexes de code (veille, authentification) non présentes dans le dossier de travail</w:t>
            </w:r>
          </w:p>
        </w:tc>
        <w:tc>
          <w:tcPr>
            <w:tcW w:type="dxa" w:w="3288"/>
          </w:tcPr>
          <w:p>
            <w:r>
              <w:t>Constat direct sur le répertoire `projet-lbp/`</w:t>
            </w:r>
          </w:p>
        </w:tc>
      </w:tr>
    </w:tbl>
    <w:p/>
    <w:p>
      <w:pPr>
        <w:pStyle w:val="Titre2"/>
      </w:pPr>
      <w:r>
        <w:t>Chapitre 4 — Intelligence métier</w:t>
      </w:r>
    </w:p>
    <w:p>
      <w:r>
        <w:rPr>
          <w:b/>
        </w:rPr>
        <w:t>Pilotes :</w:t>
      </w:r>
      <w:r>
        <w:rPr>
          <w:b w:val="0"/>
          <w:i w:val="0"/>
        </w:rPr>
        <w:t xml:space="preserve"> direction technique (Almamy CAMARA) + référents métier (James</w:t>
      </w:r>
    </w:p>
    <w:p>
      <w:r>
        <w:rPr>
          <w:b w:val="0"/>
          <w:i w:val="0"/>
        </w:rPr>
        <w:t>AHMEDALY, Nicolas SECK).</w:t>
      </w:r>
    </w:p>
    <w:p>
      <w:pPr>
        <w:pStyle w:val="Titre3"/>
      </w:pPr>
      <w:r>
        <w:t>Introduction</w:t>
      </w:r>
    </w:p>
    <w:p>
      <w:r>
        <w:rPr>
          <w:b w:val="0"/>
          <w:i w:val="0"/>
        </w:rPr>
        <w:t>Ce chapitre documente les règles métier réellement codées dans le</w:t>
      </w:r>
    </w:p>
    <w:p>
      <w:r>
        <w:rPr>
          <w:b w:val="0"/>
          <w:i w:val="0"/>
        </w:rPr>
        <w:t>prototype — la « logique paie/RH » qui constitue la valeur du produit,</w:t>
      </w:r>
    </w:p>
    <w:p>
      <w:r>
        <w:rPr>
          <w:b w:val="0"/>
          <w:i w:val="0"/>
        </w:rPr>
        <w:t>indépendamment de son état d'industrialisation.</w:t>
      </w:r>
    </w:p>
    <w:p>
      <w:pPr>
        <w:pStyle w:val="Titre3"/>
      </w:pPr>
      <w:r>
        <w:t>Architecture — taxonomie des briques fonctionnelles</w:t>
      </w:r>
    </w:p>
    <w:p>
      <w:r>
        <w:rPr>
          <w:b w:val="0"/>
          <w:i w:val="0"/>
        </w:rPr>
        <w:t xml:space="preserve">Grille de critères retenue : </w:t>
      </w:r>
      <w:r>
        <w:rPr>
          <w:b/>
        </w:rPr>
        <w:t>N1</w:t>
      </w:r>
      <w:r>
        <w:rPr>
          <w:b w:val="0"/>
          <w:i w:val="0"/>
        </w:rPr>
        <w:t xml:space="preserve"> = référentiel de contenu consultable en</w:t>
      </w:r>
    </w:p>
    <w:p>
      <w:r>
        <w:rPr>
          <w:b w:val="0"/>
          <w:i w:val="0"/>
        </w:rPr>
        <w:t xml:space="preserve">l'état, </w:t>
      </w:r>
      <w:r>
        <w:rPr>
          <w:b/>
        </w:rPr>
        <w:t>N2</w:t>
      </w:r>
      <w:r>
        <w:rPr>
          <w:b w:val="0"/>
          <w:i w:val="0"/>
        </w:rPr>
        <w:t xml:space="preserve"> = contenu combiné à une règle de calcul ou de filtrage</w:t>
      </w:r>
    </w:p>
    <w:p>
      <w:r>
        <w:rPr>
          <w:b w:val="0"/>
          <w:i w:val="0"/>
        </w:rPr>
        <w:t xml:space="preserve">paramétrable, </w:t>
      </w:r>
      <w:r>
        <w:rPr>
          <w:b/>
        </w:rPr>
        <w:t>N3</w:t>
      </w:r>
      <w:r>
        <w:rPr>
          <w:b w:val="0"/>
          <w:i w:val="0"/>
        </w:rPr>
        <w:t xml:space="preserve"> = automatisation déclenchant une action métier</w:t>
      </w:r>
    </w:p>
    <w:p>
      <w:r>
        <w:rPr>
          <w:b w:val="0"/>
          <w:i w:val="0"/>
        </w:rPr>
        <w:t>(notification, création de contenu).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Niveau</w:t>
            </w:r>
          </w:p>
        </w:tc>
        <w:tc>
          <w:tcPr>
            <w:tcW w:type="dxa" w:w="3288"/>
          </w:tcPr>
          <w:p>
            <w:r>
              <w:rPr>
                <w:b/>
              </w:rPr>
              <w:t>Brique</w:t>
            </w:r>
          </w:p>
        </w:tc>
        <w:tc>
          <w:tcPr>
            <w:tcW w:type="dxa" w:w="3288"/>
          </w:tcPr>
          <w:p>
            <w:r>
              <w:rPr>
                <w:b/>
              </w:rPr>
              <w:t>Exemples</w:t>
            </w:r>
          </w:p>
        </w:tc>
      </w:tr>
      <w:tr>
        <w:tc>
          <w:tcPr>
            <w:tcW w:type="dxa" w:w="3288"/>
          </w:tcPr>
          <w:p>
            <w:r>
              <w:t>N1</w:t>
            </w:r>
          </w:p>
        </w:tc>
        <w:tc>
          <w:tcPr>
            <w:tcW w:type="dxa" w:w="3288"/>
          </w:tcPr>
          <w:p>
            <w:r>
              <w:t>Contenu de référence statique</w:t>
            </w:r>
          </w:p>
        </w:tc>
        <w:tc>
          <w:tcPr>
            <w:tcW w:type="dxa" w:w="3288"/>
          </w:tcPr>
          <w:p>
            <w:r>
              <w:t>Fiches bibliothèque (`FICHES`), chiffres paie (`CHIFFRES`), glossaire</w:t>
            </w:r>
          </w:p>
        </w:tc>
      </w:tr>
      <w:tr>
        <w:tc>
          <w:tcPr>
            <w:tcW w:type="dxa" w:w="3288"/>
          </w:tcPr>
          <w:p>
            <w:r>
              <w:t>N2</w:t>
            </w:r>
          </w:p>
        </w:tc>
        <w:tc>
          <w:tcPr>
            <w:tcW w:type="dxa" w:w="3288"/>
          </w:tcPr>
          <w:p>
            <w:r>
              <w:t>Règle paramétrable</w:t>
            </w:r>
          </w:p>
        </w:tc>
        <w:tc>
          <w:tcPr>
            <w:tcW w:type="dxa" w:w="3288"/>
          </w:tcPr>
          <w:p>
            <w:r>
              <w:t>Moteur de dates du calendrier RH (5 types de récurrence) ; verrouillage de contenu par palier (`tier`/`req`) ; filtrage par taille d'entreprise du calendrier</w:t>
            </w:r>
          </w:p>
        </w:tc>
      </w:tr>
      <w:tr>
        <w:tc>
          <w:tcPr>
            <w:tcW w:type="dxa" w:w="3288"/>
          </w:tcPr>
          <w:p>
            <w:r>
              <w:t>N3</w:t>
            </w:r>
          </w:p>
        </w:tc>
        <w:tc>
          <w:tcPr>
            <w:tcW w:type="dxa" w:w="3288"/>
          </w:tcPr>
          <w:p>
            <w:r>
              <w:t>Automatisation métier</w:t>
            </w:r>
          </w:p>
        </w:tc>
        <w:tc>
          <w:tcPr>
            <w:tcW w:type="dxa" w:w="3288"/>
          </w:tcPr>
          <w:p>
            <w:r>
              <w:t>Suggestion de fiche liée à un texte de veille (`veilleSuggest()`) ; circuit de validation d'une mise à jour de fiche (`markFicheUpdate()` → `validateFicheUpdate()`) ; notification quotidienne de veille (spécifiée, non exécutée — Chapitre 6)</w:t>
            </w:r>
          </w:p>
        </w:tc>
      </w:tr>
    </w:tbl>
    <w:p/>
    <w:p>
      <w:pPr>
        <w:pStyle w:val="Titre3"/>
      </w:pPr>
      <w:r>
        <w:t>Fonctionnement — règles de calcul et de détection codées</w:t>
      </w:r>
    </w:p>
    <w:p>
      <w:r>
        <w:rPr>
          <w:b/>
        </w:rPr>
        <w:t>Moteur de dates du calendrier RH</w:t>
      </w:r>
      <w:r>
        <w:rPr>
          <w:b w:val="0"/>
          <w:i w:val="0"/>
        </w:rPr>
        <w:t xml:space="preserve"> [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, à partir de la ligne</w:t>
      </w:r>
    </w:p>
    <w:p>
      <w:r>
        <w:rPr>
          <w:b w:val="0"/>
          <w:i w:val="0"/>
        </w:rPr>
        <w:t>1397 ; spécifié au Cahier des charges §3.11.2, p.37] — 5 types de règles de</w:t>
      </w:r>
    </w:p>
    <w:p>
      <w:r>
        <w:rPr>
          <w:b w:val="0"/>
          <w:i w:val="0"/>
        </w:rPr>
        <w:t>récurrence :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288"/>
          </w:tcPr>
          <w:p>
            <w:r>
              <w:rPr>
                <w:b/>
              </w:rPr>
              <w:t>Mécanique</w:t>
            </w:r>
          </w:p>
        </w:tc>
        <w:tc>
          <w:tcPr>
            <w:tcW w:type="dxa" w:w="3288"/>
          </w:tcPr>
          <w:p>
            <w:r>
              <w:rPr>
                <w:b/>
              </w:rPr>
              <w:t>Exemple</w:t>
            </w:r>
          </w:p>
        </w:tc>
      </w:tr>
      <w:tr>
        <w:tc>
          <w:tcPr>
            <w:tcW w:type="dxa" w:w="3288"/>
          </w:tcPr>
          <w:p>
            <w:r>
              <w:t>Date fixe</w:t>
            </w:r>
          </w:p>
        </w:tc>
        <w:tc>
          <w:tcPr>
            <w:tcW w:type="dxa" w:w="3288"/>
          </w:tcPr>
          <w:p>
            <w:r>
              <w:t>`md="MM-JJ"`</w:t>
            </w:r>
          </w:p>
        </w:tc>
        <w:tc>
          <w:tcPr>
            <w:tcW w:type="dxa" w:w="3288"/>
          </w:tcPr>
          <w:p>
            <w:r>
              <w:t>8 mars</w:t>
            </w:r>
          </w:p>
        </w:tc>
      </w:tr>
      <w:tr>
        <w:tc>
          <w:tcPr>
            <w:tcW w:type="dxa" w:w="3288"/>
          </w:tcPr>
          <w:p>
            <w:r>
              <w:t>Mensuelle</w:t>
            </w:r>
          </w:p>
        </w:tc>
        <w:tc>
          <w:tcPr>
            <w:tcW w:type="dxa" w:w="3288"/>
          </w:tcPr>
          <w:p>
            <w:r>
              <w:t>jour fixe du mois (1-28)</w:t>
            </w:r>
          </w:p>
        </w:tc>
        <w:tc>
          <w:tcPr>
            <w:tcW w:type="dxa" w:w="3288"/>
          </w:tcPr>
          <w:p>
            <w:r>
              <w:t>Échéances DSN les 5 et 15</w:t>
            </w:r>
          </w:p>
        </w:tc>
      </w:tr>
      <w:tr>
        <w:tc>
          <w:tcPr>
            <w:tcW w:type="dxa" w:w="3288"/>
          </w:tcPr>
          <w:p>
            <w:r>
              <w:t>Nième jour de semaine</w:t>
            </w:r>
          </w:p>
        </w:tc>
        <w:tc>
          <w:tcPr>
            <w:tcW w:type="dxa" w:w="3288"/>
          </w:tcPr>
          <w:p>
            <w:r>
              <w:t>`nth=[mois, jour semaine, occurrence]`</w:t>
            </w:r>
          </w:p>
        </w:tc>
        <w:tc>
          <w:tcPr>
            <w:tcW w:type="dxa" w:w="3288"/>
          </w:tcPr>
          <w:p>
            <w:r>
              <w:t>3ᵉ lundi de novembre</w:t>
            </w:r>
          </w:p>
        </w:tc>
      </w:tr>
      <w:tr>
        <w:tc>
          <w:tcPr>
            <w:tcW w:type="dxa" w:w="3288"/>
          </w:tcPr>
          <w:p>
            <w:r>
              <w:t>Dernier jour de semaine</w:t>
            </w:r>
          </w:p>
        </w:tc>
        <w:tc>
          <w:tcPr>
            <w:tcW w:type="dxa" w:w="3288"/>
          </w:tcPr>
          <w:p>
            <w:r>
              <w:t>`last=[mois, jour semaine]`</w:t>
            </w:r>
          </w:p>
        </w:tc>
        <w:tc>
          <w:tcPr>
            <w:tcW w:type="dxa" w:w="3288"/>
          </w:tcPr>
          <w:p>
            <w:r>
              <w:t>Dernier vendredi du mois</w:t>
            </w:r>
          </w:p>
        </w:tc>
      </w:tr>
      <w:tr>
        <w:tc>
          <w:tcPr>
            <w:tcW w:type="dxa" w:w="3288"/>
          </w:tcPr>
          <w:p>
            <w:r>
              <w:t>Relative à Pâques</w:t>
            </w:r>
          </w:p>
        </w:tc>
        <w:tc>
          <w:tcPr>
            <w:tcW w:type="dxa" w:w="3288"/>
          </w:tcPr>
          <w:p>
            <w:r>
              <w:t>décalage en jours (algorithme de Meeus, fonction `easterDate()`, ligne 1407)</w:t>
            </w:r>
          </w:p>
        </w:tc>
        <w:tc>
          <w:tcPr>
            <w:tcW w:type="dxa" w:w="3288"/>
          </w:tcPr>
          <w:p>
            <w:r>
              <w:t>Pâques+39 = Ascension, Pâques+50 = lundi de Pentecôte</w:t>
            </w:r>
          </w:p>
        </w:tc>
      </w:tr>
    </w:tbl>
    <w:p/>
    <w:p>
      <w:r>
        <w:rPr>
          <w:b w:val="0"/>
          <w:i w:val="0"/>
        </w:rPr>
        <w:t xml:space="preserve">Base annuelle : </w:t>
      </w:r>
      <w:r>
        <w:rPr>
          <w:b/>
        </w:rPr>
        <w:t>~70 règles produisant ~100 occurrences par an</w:t>
      </w:r>
      <w:r>
        <w:rPr>
          <w:b w:val="0"/>
          <w:i w:val="0"/>
        </w:rPr>
        <w:t xml:space="preserve"> [Cahier des</w:t>
      </w:r>
    </w:p>
    <w:p>
      <w:r>
        <w:rPr>
          <w:b w:val="0"/>
          <w:i w:val="0"/>
        </w:rPr>
        <w:t>charges §3.11.3, p.37], filtrable par taille d'entreprise (</w:t>
      </w:r>
      <w:r>
        <w:rPr>
          <w:rFonts w:ascii="Consolas" w:hAnsi="Consolas"/>
        </w:rPr>
        <w:t>&lt;11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11-49</w:t>
      </w:r>
      <w:r>
        <w:rPr>
          <w:b w:val="0"/>
          <w:i w:val="0"/>
        </w:rPr>
        <w:t>,</w:t>
      </w:r>
    </w:p>
    <w:p>
      <w:r>
        <w:rPr>
          <w:rFonts w:ascii="Consolas" w:hAnsi="Consolas"/>
        </w:rPr>
        <w:t>50-249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250+</w:t>
      </w:r>
      <w:r>
        <w:rPr>
          <w:b w:val="0"/>
          <w:i w:val="0"/>
        </w:rPr>
        <w:t>) — exemple vérifié au cahier des charges : une entreprise de</w:t>
      </w:r>
    </w:p>
    <w:p>
      <w:r>
        <w:rPr>
          <w:b w:val="0"/>
          <w:i w:val="0"/>
        </w:rPr>
        <w:t>moins de 11 salariés ne voit pas l'échéance DSN du 5 (réservée aux employeurs</w:t>
      </w:r>
    </w:p>
    <w:p>
      <w:r>
        <w:rPr>
          <w:b w:val="0"/>
          <w:i w:val="0"/>
        </w:rPr>
        <w:t>de 50 salariés et plus) [§3.11.4, p.38].</w:t>
      </w:r>
    </w:p>
    <w:p>
      <w:r>
        <w:rPr>
          <w:b/>
        </w:rPr>
        <w:t>Verrouillage de contenu par offre commerciale</w:t>
      </w:r>
      <w:r>
        <w:rPr>
          <w:b w:val="0"/>
          <w:i w:val="0"/>
        </w:rPr>
        <w:t xml:space="preserve"> — cf. Chapitre 3 : seul le</w:t>
      </w:r>
    </w:p>
    <w:p>
      <w:r>
        <w:rPr>
          <w:b w:val="0"/>
          <w:i w:val="0"/>
        </w:rPr>
        <w:t>bloc « Dans le détail » (</w:t>
      </w:r>
      <w:r>
        <w:rPr>
          <w:rFonts w:ascii="Consolas" w:hAnsi="Consolas"/>
        </w:rPr>
        <w:t>req:2</w:t>
      </w:r>
      <w:r>
        <w:rPr>
          <w:b w:val="0"/>
          <w:i w:val="0"/>
        </w:rPr>
        <w:t>) est verrouillé pour l'offre la plus basse ;</w:t>
      </w:r>
    </w:p>
    <w:p>
      <w:r>
        <w:rPr>
          <w:b w:val="0"/>
          <w:i w:val="0"/>
        </w:rPr>
        <w:t>les 4 autres blocs, dont « Comprendre » qui contient pourtant la convention</w:t>
      </w:r>
    </w:p>
    <w:p>
      <w:r>
        <w:rPr>
          <w:b w:val="0"/>
          <w:i w:val="0"/>
        </w:rPr>
        <w:t xml:space="preserve">collective et les accords d'entreprise, restent accessibles dès </w:t>
      </w:r>
      <w:r>
        <w:rPr>
          <w:rFonts w:ascii="Consolas" w:hAnsi="Consolas"/>
        </w:rPr>
        <w:t>req:1</w:t>
      </w:r>
    </w:p>
    <w:p>
      <w:r>
        <w:rPr>
          <w:b w:val="0"/>
          <w:i w:val="0"/>
        </w:rPr>
        <w:t>[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, lignes 2478-2483]. **Ce point est repris au Chapitre 6</w:t>
      </w:r>
    </w:p>
    <w:p>
      <w:r>
        <w:rPr>
          <w:b w:val="0"/>
          <w:i w:val="0"/>
        </w:rPr>
        <w:t>comme écart non résolu au modèle commercial** — il a été identifié comme tel</w:t>
      </w:r>
    </w:p>
    <w:p>
      <w:r>
        <w:rPr>
          <w:b w:val="0"/>
          <w:i w:val="0"/>
        </w:rPr>
        <w:t xml:space="preserve">dans </w:t>
      </w:r>
      <w:r>
        <w:rPr>
          <w:rFonts w:ascii="Consolas" w:hAnsi="Consolas"/>
        </w:rPr>
        <w:t>RAPPORT_VERIFICATION_CONSTATS_TERRAIN.md</w:t>
      </w:r>
      <w:r>
        <w:rPr>
          <w:b w:val="0"/>
          <w:i w:val="0"/>
        </w:rPr>
        <w:t xml:space="preserve"> (constat 02, vérifié sur une</w:t>
      </w:r>
    </w:p>
    <w:p>
      <w:r>
        <w:rPr>
          <w:b w:val="0"/>
          <w:i w:val="0"/>
        </w:rPr>
        <w:t>version antérieure du code) et nous avons confirmé qu'il est **toujours</w:t>
      </w:r>
    </w:p>
    <w:p>
      <w:r>
        <w:rPr>
          <w:b w:val="0"/>
          <w:i w:val="0"/>
        </w:rPr>
        <w:t xml:space="preserve">présent tel quel** dans 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.</w:t>
      </w:r>
    </w:p>
    <w:p>
      <w:r>
        <w:rPr>
          <w:b/>
        </w:rPr>
        <w:t>Recherche et rapprochement texte</w:t>
      </w:r>
      <w:r>
        <w:rPr>
          <w:b w:val="0"/>
          <w:i w:val="0"/>
        </w:rPr>
        <w:t xml:space="preserve"> — la fonction </w:t>
      </w:r>
      <w:r>
        <w:rPr>
          <w:rFonts w:ascii="Consolas" w:hAnsi="Consolas"/>
        </w:rPr>
        <w:t>normText()</w:t>
      </w:r>
    </w:p>
    <w:p>
      <w:r>
        <w:rPr>
          <w:b w:val="0"/>
          <w:i w:val="0"/>
        </w:rPr>
        <w:t>(ligne 2757) normalise en minuscules et supprime les diacritiques (NFD) avant</w:t>
      </w:r>
    </w:p>
    <w:p>
      <w:r>
        <w:rPr>
          <w:b w:val="0"/>
          <w:i w:val="0"/>
        </w:rPr>
        <w:t>comparaison ; elle est utilisée de façon cohérente dans la recherche</w:t>
      </w:r>
    </w:p>
    <w:p>
      <w:r>
        <w:rPr>
          <w:b w:val="0"/>
          <w:i w:val="0"/>
        </w:rPr>
        <w:t>bibliothèque, la recherche globale (</w:t>
      </w:r>
      <w:r>
        <w:rPr>
          <w:rFonts w:ascii="Consolas" w:hAnsi="Consolas"/>
        </w:rPr>
        <w:t>renderSearch()</w:t>
      </w:r>
      <w:r>
        <w:rPr>
          <w:b w:val="0"/>
          <w:i w:val="0"/>
        </w:rPr>
        <w:t>) et le filtre</w:t>
      </w:r>
    </w:p>
    <w:p>
      <w:r>
        <w:rPr>
          <w:b w:val="0"/>
          <w:i w:val="0"/>
        </w:rPr>
        <w:t>d'actualités, ce qui fait qu'une recherche « conges » retrouve bien</w:t>
      </w:r>
    </w:p>
    <w:p>
      <w:r>
        <w:rPr>
          <w:b w:val="0"/>
          <w:i w:val="0"/>
        </w:rPr>
        <w:t xml:space="preserve">« congés » dans 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 xml:space="preserve"> (contrairement au constat 07 du rapport de</w:t>
      </w:r>
    </w:p>
    <w:p>
      <w:r>
        <w:rPr>
          <w:b w:val="0"/>
          <w:i w:val="0"/>
        </w:rPr>
        <w:t>vérification, établi sur une version antérieure du code — **corrigé dans la</w:t>
      </w:r>
    </w:p>
    <w:p>
      <w:r>
        <w:rPr>
          <w:b w:val="0"/>
          <w:i w:val="0"/>
        </w:rPr>
        <w:t xml:space="preserve">version actuelle**). La fonction </w:t>
      </w:r>
      <w:r>
        <w:rPr>
          <w:rFonts w:ascii="Consolas" w:hAnsi="Consolas"/>
        </w:rPr>
        <w:t>veilleSuggest()</w:t>
      </w:r>
      <w:r>
        <w:rPr>
          <w:b w:val="0"/>
          <w:i w:val="0"/>
        </w:rPr>
        <w:t xml:space="preserve"> (ligne 1994) rapproche un</w:t>
      </w:r>
    </w:p>
    <w:p>
      <w:r>
        <w:rPr>
          <w:b w:val="0"/>
          <w:i w:val="0"/>
        </w:rPr>
        <w:t>texte de veille d'une sous-fiche existante par comptage de mots significatifs</w:t>
      </w:r>
    </w:p>
    <w:p>
      <w:r>
        <w:rPr>
          <w:b w:val="0"/>
          <w:i w:val="0"/>
        </w:rPr>
        <w:t>communs (mots de plus de 4 lettres), sans pondération ni seuil documenté</w:t>
      </w:r>
    </w:p>
    <w:p>
      <w:r>
        <w:rPr>
          <w:b w:val="0"/>
          <w:i w:val="0"/>
        </w:rPr>
        <w:t>au-delà de « score ≥ 1 ».</w:t>
      </w:r>
    </w:p>
    <w:p>
      <w:pPr>
        <w:pStyle w:val="Titre3"/>
      </w:pPr>
      <w:r>
        <w:t>Interactions — mapping anomalie → action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Événement détecté</w:t>
            </w:r>
          </w:p>
        </w:tc>
        <w:tc>
          <w:tcPr>
            <w:tcW w:type="dxa" w:w="3288"/>
          </w:tcPr>
          <w:p>
            <w:r>
              <w:rPr>
                <w:b/>
              </w:rPr>
              <w:t>Action déclenchée</w:t>
            </w:r>
          </w:p>
        </w:tc>
        <w:tc>
          <w:tcPr>
            <w:tcW w:type="dxa" w:w="3288"/>
          </w:tcPr>
          <w:p>
            <w:r>
              <w:rPr>
                <w:b/>
              </w:rPr>
              <w:t>Fonction</w:t>
            </w:r>
          </w:p>
        </w:tc>
      </w:tr>
      <w:tr>
        <w:tc>
          <w:tcPr>
            <w:tcW w:type="dxa" w:w="3288"/>
          </w:tcPr>
          <w:p>
            <w:r>
              <w:t>Veille rapprochée d'une fiche existante</w:t>
            </w:r>
          </w:p>
        </w:tc>
        <w:tc>
          <w:tcPr>
            <w:tcW w:type="dxa" w:w="3288"/>
          </w:tcPr>
          <w:p>
            <w:r>
              <w:t>Notification G2S « Mise à jour à valider »</w:t>
            </w:r>
          </w:p>
        </w:tc>
        <w:tc>
          <w:tcPr>
            <w:tcW w:type="dxa" w:w="3288"/>
          </w:tcPr>
          <w:p>
            <w:r>
              <w:t>`markFicheUpdate()`, ligne 2503</w:t>
            </w:r>
          </w:p>
        </w:tc>
      </w:tr>
      <w:tr>
        <w:tc>
          <w:tcPr>
            <w:tcW w:type="dxa" w:w="3288"/>
          </w:tcPr>
          <w:p>
            <w:r>
              <w:t>Validation G2S de la mise à jour</w:t>
            </w:r>
          </w:p>
        </w:tc>
        <w:tc>
          <w:tcPr>
            <w:tcW w:type="dxa" w:w="3288"/>
          </w:tcPr>
          <w:p>
            <w:r>
              <w:t>Notification client « Fiche mise à jour »</w:t>
            </w:r>
          </w:p>
        </w:tc>
        <w:tc>
          <w:tcPr>
            <w:tcW w:type="dxa" w:w="3288"/>
          </w:tcPr>
          <w:p>
            <w:r>
              <w:t>`validateFicheUpdate()`, ligne 2504</w:t>
            </w:r>
          </w:p>
        </w:tc>
      </w:tr>
      <w:tr>
        <w:tc>
          <w:tcPr>
            <w:tcW w:type="dxa" w:w="3288"/>
          </w:tcPr>
          <w:p>
            <w:r>
              <w:t>Publication d'un article/dossier</w:t>
            </w:r>
          </w:p>
        </w:tc>
        <w:tc>
          <w:tcPr>
            <w:tcW w:type="dxa" w:w="3288"/>
          </w:tcPr>
          <w:p>
            <w:r>
              <w:t>Notification client « Nouveau contenu »</w:t>
            </w:r>
          </w:p>
        </w:tc>
        <w:tc>
          <w:tcPr>
            <w:tcW w:type="dxa" w:w="3288"/>
          </w:tcPr>
          <w:p>
            <w:r>
              <w:t>`pushNotif()`, ligne 2511</w:t>
            </w:r>
          </w:p>
        </w:tc>
      </w:tr>
      <w:tr>
        <w:tc>
          <w:tcPr>
            <w:tcW w:type="dxa" w:w="3288"/>
          </w:tcPr>
          <w:p>
            <w:r>
              <w:t>Changement de palier commercial</w:t>
            </w:r>
          </w:p>
        </w:tc>
        <w:tc>
          <w:tcPr>
            <w:tcW w:type="dxa" w:w="3288"/>
          </w:tcPr>
          <w:p>
            <w:r>
              <w:t>Confirmation utilisateur puis rechargement des vues verrouillées</w:t>
            </w:r>
          </w:p>
        </w:tc>
        <w:tc>
          <w:tcPr>
            <w:tcW w:type="dxa" w:w="3288"/>
          </w:tcPr>
          <w:p>
            <w:r>
              <w:t>`applyTier()`, ligne 1309</w:t>
            </w:r>
          </w:p>
        </w:tc>
      </w:tr>
    </w:tbl>
    <w:p/>
    <w:p>
      <w:pPr>
        <w:pStyle w:val="Titre3"/>
      </w:pPr>
      <w:r>
        <w:t>Données — référentiels codés en dur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Référentiel</w:t>
            </w:r>
          </w:p>
        </w:tc>
        <w:tc>
          <w:tcPr>
            <w:tcW w:type="dxa" w:w="3288"/>
          </w:tcPr>
          <w:p>
            <w:r>
              <w:rPr>
                <w:b/>
              </w:rPr>
              <w:t>Contenu</w:t>
            </w:r>
          </w:p>
        </w:tc>
        <w:tc>
          <w:tcPr>
            <w:tcW w:type="dxa" w:w="3288"/>
          </w:tcPr>
          <w:p>
            <w:r>
              <w:rPr>
                <w:b/>
              </w:rPr>
              <w:t>Ligne</w:t>
            </w:r>
          </w:p>
        </w:tc>
      </w:tr>
      <w:tr>
        <w:tc>
          <w:tcPr>
            <w:tcW w:type="dxa" w:w="3288"/>
          </w:tcPr>
          <w:p>
            <w:r>
              <w:t>`THEMES` / `SUBTHEMES` / `FAMILIES`</w:t>
            </w:r>
          </w:p>
        </w:tc>
        <w:tc>
          <w:tcPr>
            <w:tcW w:type="dxa" w:w="3288"/>
          </w:tcPr>
          <w:p>
            <w:r>
              <w:t>Arborescence bibliothèque (18 thèmes, 139 sous-fiches, 3 familles)</w:t>
            </w:r>
          </w:p>
        </w:tc>
        <w:tc>
          <w:tcPr>
            <w:tcW w:type="dxa" w:w="3288"/>
          </w:tcPr>
          <w:p>
            <w:r>
              <w:t>1189 s.</w:t>
            </w:r>
          </w:p>
        </w:tc>
      </w:tr>
      <w:tr>
        <w:tc>
          <w:tcPr>
            <w:tcW w:type="dxa" w:w="3288"/>
          </w:tcPr>
          <w:p>
            <w:r>
              <w:t>`OFFERS` / `TIER_NAME` / `LVLABEL`</w:t>
            </w:r>
          </w:p>
        </w:tc>
        <w:tc>
          <w:tcPr>
            <w:tcW w:type="dxa" w:w="3288"/>
          </w:tcPr>
          <w:p>
            <w:r>
              <w:t>4 offres commerciales et niveaux inclus</w:t>
            </w:r>
          </w:p>
        </w:tc>
        <w:tc>
          <w:tcPr>
            <w:tcW w:type="dxa" w:w="3288"/>
          </w:tcPr>
          <w:p>
            <w:r>
              <w:t>1232, 2566</w:t>
            </w:r>
          </w:p>
        </w:tc>
      </w:tr>
      <w:tr>
        <w:tc>
          <w:tcPr>
            <w:tcW w:type="dxa" w:w="3288"/>
          </w:tcPr>
          <w:p>
            <w:r>
              <w:t>`CHIFFRES`</w:t>
            </w:r>
          </w:p>
        </w:tc>
        <w:tc>
          <w:tcPr>
            <w:tcW w:type="dxa" w:w="3288"/>
          </w:tcPr>
          <w:p>
            <w:r>
              <w:t>Repères SMIC/PMSS/PASS, plafonds, taux de cotisations 2026 avec sources légales</w:t>
            </w:r>
          </w:p>
        </w:tc>
        <w:tc>
          <w:tcPr>
            <w:tcW w:type="dxa" w:w="3288"/>
          </w:tcPr>
          <w:p>
            <w:r>
              <w:t>2101</w:t>
            </w:r>
          </w:p>
        </w:tc>
      </w:tr>
      <w:tr>
        <w:tc>
          <w:tcPr>
            <w:tcW w:type="dxa" w:w="3288"/>
          </w:tcPr>
          <w:p>
            <w:r>
              <w:t>`RH_CAL` / `CAL_BASE` / `THEMES_CAL`</w:t>
            </w:r>
          </w:p>
        </w:tc>
        <w:tc>
          <w:tcPr>
            <w:tcW w:type="dxa" w:w="3288"/>
          </w:tcPr>
          <w:p>
            <w:r>
              <w:t>Base annuelle du calendrier RH</w:t>
            </w:r>
          </w:p>
        </w:tc>
        <w:tc>
          <w:tcPr>
            <w:tcW w:type="dxa" w:w="3288"/>
          </w:tcPr>
          <w:p>
            <w:r>
              <w:t>1345, 1421</w:t>
            </w:r>
          </w:p>
        </w:tc>
      </w:tr>
      <w:tr>
        <w:tc>
          <w:tcPr>
            <w:tcW w:type="dxa" w:w="3288"/>
          </w:tcPr>
          <w:p>
            <w:r>
              <w:t>`VEILLE` / `VEILLE_SOURCES`</w:t>
            </w:r>
          </w:p>
        </w:tc>
        <w:tc>
          <w:tcPr>
            <w:tcW w:type="dxa" w:w="3288"/>
          </w:tcPr>
          <w:p>
            <w:r>
              <w:t>Textes de veille et 7 sources officielles suivies</w:t>
            </w:r>
          </w:p>
        </w:tc>
        <w:tc>
          <w:tcPr>
            <w:tcW w:type="dxa" w:w="3288"/>
          </w:tcPr>
          <w:p>
            <w:r>
              <w:t>1973, 1982</w:t>
            </w:r>
          </w:p>
        </w:tc>
      </w:tr>
      <w:tr>
        <w:tc>
          <w:tcPr>
            <w:tcW w:type="dxa" w:w="3288"/>
          </w:tcPr>
          <w:p>
            <w:r>
              <w:t>`PROFILES` / `COMPANY` / `TEAM`</w:t>
            </w:r>
          </w:p>
        </w:tc>
        <w:tc>
          <w:tcPr>
            <w:tcW w:type="dxa" w:w="3288"/>
          </w:tcPr>
          <w:p>
            <w:r>
              <w:t>Données de démonstration (profils, société fictive « Cabinet Démo SAS », organigramme)</w:t>
            </w:r>
          </w:p>
        </w:tc>
        <w:tc>
          <w:tcPr>
            <w:tcW w:type="dxa" w:w="3288"/>
          </w:tcPr>
          <w:p>
            <w:r>
              <w:t>1185, 1209, 2256</w:t>
            </w:r>
          </w:p>
        </w:tc>
      </w:tr>
    </w:tbl>
    <w:p/>
    <w:p>
      <w:r>
        <w:rPr>
          <w:b w:val="0"/>
          <w:i w:val="0"/>
        </w:rPr>
        <w:t xml:space="preserve">Base légale des calculs : les valeurs de </w:t>
      </w:r>
      <w:r>
        <w:rPr>
          <w:rFonts w:ascii="Consolas" w:hAnsi="Consolas"/>
        </w:rPr>
        <w:t>CHIFFRES</w:t>
      </w:r>
      <w:r>
        <w:rPr>
          <w:b w:val="0"/>
          <w:i w:val="0"/>
        </w:rPr>
        <w:t xml:space="preserve"> citent leurs arrêtés</w:t>
      </w:r>
    </w:p>
    <w:p>
      <w:r>
        <w:rPr>
          <w:b w:val="0"/>
          <w:i w:val="0"/>
        </w:rPr>
        <w:t>(ex. « arrêté du 22 mai 2026 (JO 24/05) » pour le SMIC) directement dans le</w:t>
      </w:r>
    </w:p>
    <w:p>
      <w:r>
        <w:rPr>
          <w:b w:val="0"/>
          <w:i w:val="0"/>
        </w:rPr>
        <w:t>code — un choix qui facilite la traçabilité mais **couple la donnée</w:t>
      </w:r>
    </w:p>
    <w:p>
      <w:r>
        <w:rPr>
          <w:b w:val="0"/>
          <w:i w:val="0"/>
        </w:rPr>
        <w:t>réglementaire à la couche de présentation**, à corriger dans le modèle de</w:t>
      </w:r>
    </w:p>
    <w:p>
      <w:r>
        <w:rPr>
          <w:b w:val="0"/>
          <w:i w:val="0"/>
        </w:rPr>
        <w:t xml:space="preserve">données cible (table </w:t>
      </w:r>
      <w:r>
        <w:rPr>
          <w:rFonts w:ascii="Consolas" w:hAnsi="Consolas"/>
        </w:rPr>
        <w:t>chiffres</w:t>
      </w:r>
      <w:r>
        <w:rPr>
          <w:b w:val="0"/>
          <w:i w:val="0"/>
        </w:rPr>
        <w:t xml:space="preserve"> proposée au cahier des charges §3.4, p.15).</w:t>
      </w:r>
    </w:p>
    <w:p>
      <w:pPr>
        <w:pStyle w:val="Titre3"/>
      </w:pPr>
      <w:r>
        <w:t>Limites et perspectives</w:t>
      </w:r>
    </w:p>
    <w:p>
      <w:r>
        <w:rPr>
          <w:b w:val="0"/>
          <w:i w:val="0"/>
        </w:rPr>
        <w:t xml:space="preserve">Aucun catalogue d'anomalies centralisé (type </w:t>
      </w:r>
      <w:r>
        <w:rPr>
          <w:rFonts w:ascii="Consolas" w:hAnsi="Consolas"/>
        </w:rPr>
        <w:t>errors.py</w:t>
      </w:r>
      <w:r>
        <w:rPr>
          <w:b w:val="0"/>
          <w:i w:val="0"/>
        </w:rPr>
        <w:t>/</w:t>
      </w:r>
      <w:r>
        <w:rPr>
          <w:rFonts w:ascii="Consolas" w:hAnsi="Consolas"/>
        </w:rPr>
        <w:t>rules.py</w:t>
      </w:r>
      <w:r>
        <w:rPr>
          <w:b w:val="0"/>
          <w:i w:val="0"/>
        </w:rPr>
        <w:t>)</w:t>
      </w:r>
    </w:p>
    <w:p>
      <w:r>
        <w:rPr>
          <w:b w:val="0"/>
          <w:i w:val="0"/>
        </w:rPr>
        <w:t>n'existe : la logique de détection est disséminée dans les fonctions de</w:t>
      </w:r>
    </w:p>
    <w:p>
      <w:r>
        <w:rPr>
          <w:b w:val="0"/>
          <w:i w:val="0"/>
        </w:rPr>
        <w:t>rendu. Une reconstruction back-end devra a minima extraire ces règles dans un</w:t>
      </w:r>
    </w:p>
    <w:p>
      <w:r>
        <w:rPr>
          <w:b w:val="0"/>
          <w:i w:val="0"/>
        </w:rPr>
        <w:t>module dédié et versionné indépendamment du contenu éditorial, condition</w:t>
      </w:r>
    </w:p>
    <w:p>
      <w:r>
        <w:rPr>
          <w:b w:val="0"/>
          <w:i w:val="0"/>
        </w:rPr>
        <w:t>déjà identifiée par le cahier des charges pour le calendrier (« ne pas</w:t>
      </w:r>
    </w:p>
    <w:p>
      <w:r>
        <w:rPr>
          <w:b w:val="0"/>
          <w:i w:val="0"/>
        </w:rPr>
        <w:t>recopier le contenu éditorial d'un calendrier tiers, seuls les faits sont</w:t>
      </w:r>
    </w:p>
    <w:p>
      <w:r>
        <w:rPr>
          <w:b w:val="0"/>
          <w:i w:val="0"/>
        </w:rPr>
        <w:t>réutilisables » [§3.11.6, p.38]) et généralisable aux autres référentiels.</w:t>
      </w:r>
    </w:p>
    <w:p>
      <w:pPr>
        <w:pStyle w:val="Titre3"/>
      </w:pPr>
      <w:r>
        <w:t>Preuves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ID</w:t>
            </w:r>
          </w:p>
        </w:tc>
        <w:tc>
          <w:tcPr>
            <w:tcW w:type="dxa" w:w="3288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3288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3288"/>
          </w:tcPr>
          <w:p>
            <w:r>
              <w:t>PR-C4-01</w:t>
            </w:r>
          </w:p>
        </w:tc>
        <w:tc>
          <w:tcPr>
            <w:tcW w:type="dxa" w:w="3288"/>
          </w:tcPr>
          <w:p>
            <w:r>
              <w:t>Moteur de dates et 5 types de récurrence</w:t>
            </w:r>
          </w:p>
        </w:tc>
        <w:tc>
          <w:tcPr>
            <w:tcW w:type="dxa" w:w="3288"/>
          </w:tcPr>
          <w:p>
            <w:r>
              <w:t>`LBP_V2-20.html`, lignes 1397-1421 ; Cahier des charges §3.11.2, p.37</w:t>
            </w:r>
          </w:p>
        </w:tc>
      </w:tr>
      <w:tr>
        <w:tc>
          <w:tcPr>
            <w:tcW w:type="dxa" w:w="3288"/>
          </w:tcPr>
          <w:p>
            <w:r>
              <w:t>PR-C4-02</w:t>
            </w:r>
          </w:p>
        </w:tc>
        <w:tc>
          <w:tcPr>
            <w:tcW w:type="dxa" w:w="3288"/>
          </w:tcPr>
          <w:p>
            <w:r>
              <w:t>Filtrage calendrier par taille d'entreprise</w:t>
            </w:r>
          </w:p>
        </w:tc>
        <w:tc>
          <w:tcPr>
            <w:tcW w:type="dxa" w:w="3288"/>
          </w:tcPr>
          <w:p>
            <w:r>
              <w:t>Cahier des charges §3.11.4, p.38</w:t>
            </w:r>
          </w:p>
        </w:tc>
      </w:tr>
      <w:tr>
        <w:tc>
          <w:tcPr>
            <w:tcW w:type="dxa" w:w="3288"/>
          </w:tcPr>
          <w:p>
            <w:r>
              <w:t>PR-C4-03</w:t>
            </w:r>
          </w:p>
        </w:tc>
        <w:tc>
          <w:tcPr>
            <w:tcW w:type="dxa" w:w="3288"/>
          </w:tcPr>
          <w:p>
            <w:r>
              <w:t>Verrouillage de contenu limité à 1 bloc sur 5, encore présent</w:t>
            </w:r>
          </w:p>
        </w:tc>
        <w:tc>
          <w:tcPr>
            <w:tcW w:type="dxa" w:w="3288"/>
          </w:tcPr>
          <w:p>
            <w:r>
              <w:t>`LBP_V2-20.html`, lignes 2478-2483 ; `RAPPORT_VERIFICATION_CONSTATS_TERRAIN.md`, constat 02</w:t>
            </w:r>
          </w:p>
        </w:tc>
      </w:tr>
      <w:tr>
        <w:tc>
          <w:tcPr>
            <w:tcW w:type="dxa" w:w="3288"/>
          </w:tcPr>
          <w:p>
            <w:r>
              <w:t>PR-C4-04</w:t>
            </w:r>
          </w:p>
        </w:tc>
        <w:tc>
          <w:tcPr>
            <w:tcW w:type="dxa" w:w="3288"/>
          </w:tcPr>
          <w:p>
            <w:r>
              <w:t>Normalisation de recherche (`normText`), bug d'origine corrigé</w:t>
            </w:r>
          </w:p>
        </w:tc>
        <w:tc>
          <w:tcPr>
            <w:tcW w:type="dxa" w:w="3288"/>
          </w:tcPr>
          <w:p>
            <w:r>
              <w:t>`LBP_V2-20.html`, lignes 1953-2757, 3048-3052 ; `RAPPORT_VERIFICATION_CONSTATS_TERRAIN.md`, constat 07</w:t>
            </w:r>
          </w:p>
        </w:tc>
      </w:tr>
      <w:tr>
        <w:tc>
          <w:tcPr>
            <w:tcW w:type="dxa" w:w="3288"/>
          </w:tcPr>
          <w:p>
            <w:r>
              <w:t>PR-C4-05</w:t>
            </w:r>
          </w:p>
        </w:tc>
        <w:tc>
          <w:tcPr>
            <w:tcW w:type="dxa" w:w="3288"/>
          </w:tcPr>
          <w:p>
            <w:r>
              <w:t>Suggestion automatique veille → fiche</w:t>
            </w:r>
          </w:p>
        </w:tc>
        <w:tc>
          <w:tcPr>
            <w:tcW w:type="dxa" w:w="3288"/>
          </w:tcPr>
          <w:p>
            <w:r>
              <w:t>`LBP_V2-20.html`, ligne 1994</w:t>
            </w:r>
          </w:p>
        </w:tc>
      </w:tr>
      <w:tr>
        <w:tc>
          <w:tcPr>
            <w:tcW w:type="dxa" w:w="3288"/>
          </w:tcPr>
          <w:p>
            <w:r>
              <w:t>PR-C4-06</w:t>
            </w:r>
          </w:p>
        </w:tc>
        <w:tc>
          <w:tcPr>
            <w:tcW w:type="dxa" w:w="3288"/>
          </w:tcPr>
          <w:p>
            <w:r>
              <w:t>Circuit notification MAJ fiche</w:t>
            </w:r>
          </w:p>
        </w:tc>
        <w:tc>
          <w:tcPr>
            <w:tcW w:type="dxa" w:w="3288"/>
          </w:tcPr>
          <w:p>
            <w:r>
              <w:t>`LBP_V2-20.html`, lignes 2503-2504, 2511</w:t>
            </w:r>
          </w:p>
        </w:tc>
      </w:tr>
      <w:tr>
        <w:tc>
          <w:tcPr>
            <w:tcW w:type="dxa" w:w="3288"/>
          </w:tcPr>
          <w:p>
            <w:r>
              <w:t>PR-C4-07</w:t>
            </w:r>
          </w:p>
        </w:tc>
        <w:tc>
          <w:tcPr>
            <w:tcW w:type="dxa" w:w="3288"/>
          </w:tcPr>
          <w:p>
            <w:r>
              <w:t>Référentiels de données codés en dur</w:t>
            </w:r>
          </w:p>
        </w:tc>
        <w:tc>
          <w:tcPr>
            <w:tcW w:type="dxa" w:w="3288"/>
          </w:tcPr>
          <w:p>
            <w:r>
              <w:t>`LBP_V2-20.html`, lignes 1185-2587 (multiples)</w:t>
            </w:r>
          </w:p>
        </w:tc>
      </w:tr>
    </w:tbl>
    <w:p/>
    <w:p>
      <w:pPr>
        <w:pStyle w:val="Titre2"/>
      </w:pPr>
      <w:r>
        <w:t>Chapitre 5 — Sécurité et RGPD</w:t>
      </w:r>
    </w:p>
    <w:p>
      <w:r>
        <w:rPr>
          <w:b/>
        </w:rPr>
        <w:t>Pilotes :</w:t>
      </w:r>
      <w:r>
        <w:rPr>
          <w:b w:val="0"/>
          <w:i w:val="0"/>
        </w:rPr>
        <w:t xml:space="preserve"> porteur produit (Pauline LETOURNEUR) + référent juridique</w:t>
      </w:r>
    </w:p>
    <w:p>
      <w:r>
        <w:rPr>
          <w:b w:val="0"/>
          <w:i w:val="0"/>
        </w:rPr>
        <w:t>(Pauline LETOURNEUR).</w:t>
      </w:r>
    </w:p>
    <w:p>
      <w:pPr>
        <w:pStyle w:val="Titre3"/>
      </w:pPr>
      <w:r>
        <w:t>Introduction</w:t>
      </w:r>
    </w:p>
    <w:p>
      <w:r>
        <w:rPr>
          <w:b w:val="0"/>
          <w:i w:val="0"/>
        </w:rPr>
        <w:t xml:space="preserve">Ce chapitre distingue ce qui est </w:t>
      </w:r>
      <w:r>
        <w:rPr>
          <w:b/>
        </w:rPr>
        <w:t>factuellement vérifiable dans le code</w:t>
      </w:r>
    </w:p>
    <w:p>
      <w:r>
        <w:rPr>
          <w:b w:val="0"/>
          <w:i w:val="0"/>
        </w:rPr>
        <w:t xml:space="preserve">de ce qui relève d'un </w:t>
      </w:r>
      <w:r>
        <w:rPr>
          <w:b/>
        </w:rPr>
        <w:t>arbitrage juridique non encore tranché</w:t>
      </w:r>
      <w:r>
        <w:rPr>
          <w:b w:val="0"/>
          <w:i w:val="0"/>
        </w:rPr>
        <w:t xml:space="preserve"> — la norme</w:t>
      </w:r>
    </w:p>
    <w:p>
      <w:r>
        <w:rPr>
          <w:b w:val="0"/>
          <w:i w:val="0"/>
        </w:rPr>
        <w:t>interdit explicitement de présumer une conformité RGPD non vérifiée.</w:t>
      </w:r>
    </w:p>
    <w:p>
      <w:pPr>
        <w:pStyle w:val="Titre3"/>
      </w:pPr>
      <w:r>
        <w:t>Architecture — nature des données traitées</w:t>
      </w:r>
    </w:p>
    <w:p>
      <w:r>
        <w:rPr>
          <w:b w:val="0"/>
          <w:i w:val="0"/>
        </w:rPr>
        <w:t>Le prototype ne traite, à l'écran, que des **données de démonstration</w:t>
      </w:r>
    </w:p>
    <w:p>
      <w:r>
        <w:rPr>
          <w:b w:val="0"/>
          <w:i w:val="0"/>
        </w:rPr>
        <w:t>fictives** : société « Cabinet Démo SAS » (SIREN 812 345 678, adresse et</w:t>
      </w:r>
    </w:p>
    <w:p>
      <w:r>
        <w:rPr>
          <w:b w:val="0"/>
          <w:i w:val="0"/>
        </w:rPr>
        <w:t>téléphone fictifs), profils « Camille Moreau » et « Sofiane Benali » avec</w:t>
      </w:r>
    </w:p>
    <w:p>
      <w:r>
        <w:rPr>
          <w:b w:val="0"/>
          <w:i w:val="0"/>
        </w:rPr>
        <w:t xml:space="preserve">e-mails </w:t>
      </w:r>
      <w:r>
        <w:rPr>
          <w:rFonts w:ascii="Consolas" w:hAnsi="Consolas"/>
        </w:rPr>
        <w:t>@cabinet-demo.fr</w:t>
      </w:r>
      <w:r>
        <w:rPr>
          <w:b w:val="0"/>
          <w:i w:val="0"/>
        </w:rPr>
        <w:t xml:space="preserve"> [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, lignes 1186-1187, 1209]. Aucune</w:t>
      </w:r>
    </w:p>
    <w:p>
      <w:r>
        <w:rPr>
          <w:b w:val="0"/>
          <w:i w:val="0"/>
        </w:rPr>
        <w:t>donnée personnelle réelle n'est donc manipulée par l'usage normal du</w:t>
      </w:r>
    </w:p>
    <w:p>
      <w:r>
        <w:rPr>
          <w:b w:val="0"/>
          <w:i w:val="0"/>
        </w:rPr>
        <w:t>prototype en démonstration.</w:t>
      </w:r>
    </w:p>
    <w:p>
      <w:r>
        <w:rPr>
          <w:b/>
        </w:rPr>
        <w:t>Exception notable et vérifiée</w:t>
      </w:r>
      <w:r>
        <w:rPr>
          <w:b w:val="0"/>
          <w:i w:val="0"/>
        </w:rPr>
        <w:t xml:space="preserve"> : les deux formulaires Netlify identifiés</w:t>
      </w:r>
    </w:p>
    <w:p>
      <w:r>
        <w:rPr>
          <w:b w:val="0"/>
          <w:i w:val="0"/>
        </w:rPr>
        <w:t>au Chapitre 3 (</w:t>
      </w:r>
      <w:r>
        <w:rPr>
          <w:rFonts w:ascii="Consolas" w:hAnsi="Consolas"/>
        </w:rPr>
        <w:t>offre-lbp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contact-lbp</w:t>
      </w:r>
      <w:r>
        <w:rPr>
          <w:b w:val="0"/>
          <w:i w:val="0"/>
        </w:rPr>
        <w:t>) transmettent, **si le fichier est</w:t>
      </w:r>
    </w:p>
    <w:p>
      <w:r>
        <w:rPr>
          <w:b w:val="0"/>
          <w:i w:val="0"/>
        </w:rPr>
        <w:t>réellement déployé sur une infrastructure Netlify active**, les données</w:t>
      </w:r>
    </w:p>
    <w:p>
      <w:r>
        <w:rPr>
          <w:b w:val="0"/>
          <w:i w:val="0"/>
        </w:rPr>
        <w:t>saisies par un visiteur réel — prénom, e-mail, société, et **le contenu</w:t>
      </w:r>
    </w:p>
    <w:p>
      <w:r>
        <w:rPr>
          <w:b w:val="0"/>
          <w:i w:val="0"/>
        </w:rPr>
        <w:t>libre d'un message de chat** — vers le backend de formulaires de Netlify</w:t>
      </w:r>
    </w:p>
    <w:p>
      <w:r>
        <w:rPr>
          <w:b w:val="0"/>
          <w:i w:val="0"/>
        </w:rPr>
        <w:t>[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, lignes 2700-2747]. Ces données ne sont ni fictives ni</w:t>
      </w:r>
    </w:p>
    <w:p>
      <w:r>
        <w:rPr>
          <w:b w:val="0"/>
          <w:i w:val="0"/>
        </w:rPr>
        <w:t>anodines si le prototype est exposé publiquement : c'est un flux de collecte</w:t>
      </w:r>
    </w:p>
    <w:p>
      <w:r>
        <w:rPr>
          <w:b w:val="0"/>
          <w:i w:val="0"/>
        </w:rPr>
        <w:t>réel qui n'apparaît dans aucune des sources documentaires (cahier des</w:t>
      </w:r>
    </w:p>
    <w:p>
      <w:r>
        <w:rPr>
          <w:b w:val="0"/>
          <w:i w:val="0"/>
        </w:rPr>
        <w:t>charges, compte-rendu) consultées pour cette amorce.</w:t>
      </w:r>
    </w:p>
    <w:p>
      <w:pPr>
        <w:pStyle w:val="Titre3"/>
      </w:pPr>
      <w:r>
        <w:t>Fonctionnement — mesures de sécurité actuelles</w:t>
      </w:r>
    </w:p>
    <w:p>
      <w:r>
        <w:rPr>
          <w:b w:val="0"/>
          <w:i w:val="0"/>
        </w:rPr>
        <w:t>Aucune mesure de sécurité applicative n'existe dans le prototype lui-même :</w:t>
      </w:r>
    </w:p>
    <w:p>
      <w:r>
        <w:rPr>
          <w:b w:val="0"/>
          <w:i w:val="0"/>
        </w:rPr>
        <w:t>pas de chiffrement, pas d'authentification réelle (bascule de mode par</w:t>
      </w:r>
    </w:p>
    <w:p>
      <w:r>
        <w:rPr>
          <w:b w:val="0"/>
          <w:i w:val="0"/>
        </w:rPr>
        <w:t>simple variable JavaScript, cf. Chapitre 3), pas de RBAC serveur, pas de</w:t>
      </w:r>
    </w:p>
    <w:p>
      <w:r>
        <w:rPr>
          <w:b w:val="0"/>
          <w:i w:val="0"/>
        </w:rPr>
        <w:t>protection anti-CSRF/anti-injection au-delà des fonctions d'échappement</w:t>
      </w:r>
    </w:p>
    <w:p>
      <w:r>
        <w:rPr>
          <w:rFonts w:ascii="Consolas" w:hAnsi="Consolas"/>
        </w:rPr>
        <w:t>escHtml()</w:t>
      </w:r>
      <w:r>
        <w:rPr>
          <w:b w:val="0"/>
          <w:i w:val="0"/>
        </w:rPr>
        <w:t>/</w:t>
      </w:r>
      <w:r>
        <w:rPr>
          <w:rFonts w:ascii="Consolas" w:hAnsi="Consolas"/>
        </w:rPr>
        <w:t>escAttr()</w:t>
      </w:r>
      <w:r>
        <w:rPr>
          <w:b w:val="0"/>
          <w:i w:val="0"/>
        </w:rPr>
        <w:t xml:space="preserve"> dont la couverture exhaustive n'a pas été vérifiée. Ce</w:t>
      </w:r>
    </w:p>
    <w:p>
      <w:r>
        <w:rPr>
          <w:b w:val="0"/>
          <w:i w:val="0"/>
        </w:rPr>
        <w:t>n'est pas anormal pour un prototype de démonstration statique, mais cela</w:t>
      </w:r>
    </w:p>
    <w:p>
      <w:r>
        <w:rPr>
          <w:b w:val="0"/>
          <w:i w:val="0"/>
        </w:rPr>
        <w:t xml:space="preserve">signifie que </w:t>
      </w:r>
      <w:r>
        <w:rPr>
          <w:b/>
        </w:rPr>
        <w:t>rien de l'existant ne peut être repris tel quel</w:t>
      </w:r>
      <w:r>
        <w:rPr>
          <w:b w:val="0"/>
          <w:i w:val="0"/>
        </w:rPr>
        <w:t xml:space="preserve"> pour la</w:t>
      </w:r>
    </w:p>
    <w:p>
      <w:r>
        <w:rPr>
          <w:b w:val="0"/>
          <w:i w:val="0"/>
        </w:rPr>
        <w:t>version en production.</w:t>
      </w:r>
    </w:p>
    <w:p>
      <w:r>
        <w:rPr>
          <w:b w:val="0"/>
          <w:i w:val="0"/>
        </w:rPr>
        <w:t>Le cahier des charges pose cinq principes de sécurité pour la cible, non</w:t>
      </w:r>
    </w:p>
    <w:p>
      <w:r>
        <w:rPr>
          <w:b w:val="0"/>
          <w:i w:val="0"/>
        </w:rPr>
        <w:t>implémentés à ce jour : secrets en variables d'environnement uniquement,</w:t>
      </w:r>
    </w:p>
    <w:p>
      <w:r>
        <w:rPr>
          <w:b w:val="0"/>
          <w:i w:val="0"/>
        </w:rPr>
        <w:t>mots de passe chiffrés et inaccessibles à l'éditeur G2S, cloisonnement des</w:t>
      </w:r>
    </w:p>
    <w:p>
      <w:r>
        <w:rPr>
          <w:b w:val="0"/>
          <w:i w:val="0"/>
        </w:rPr>
        <w:t>données par société via Row Level Security (RLS) PostgreSQL, domaine d'envoi</w:t>
      </w:r>
    </w:p>
    <w:p>
      <w:r>
        <w:rPr>
          <w:b w:val="0"/>
          <w:i w:val="0"/>
        </w:rPr>
        <w:t>e-mail authentifié (SPF/DKIM) [§3.10, p.18]. Le principe d'accès de l'éditeur</w:t>
      </w:r>
    </w:p>
    <w:p>
      <w:r>
        <w:rPr>
          <w:b w:val="0"/>
          <w:i w:val="0"/>
        </w:rPr>
        <w:t xml:space="preserve">G2S aux données client </w:t>
      </w:r>
      <w:r>
        <w:rPr>
          <w:b/>
        </w:rPr>
        <w:t>sans jamais connaître le mot de passe du client</w:t>
      </w:r>
    </w:p>
    <w:p>
      <w:r>
        <w:rPr>
          <w:b w:val="0"/>
          <w:i w:val="0"/>
        </w:rPr>
        <w:t>est explicitement posé comme choix structurant [§3.5, p.16 ; §9, p.44].</w:t>
      </w:r>
    </w:p>
    <w:p>
      <w:pPr>
        <w:pStyle w:val="Titre3"/>
      </w:pPr>
      <w:r>
        <w:t>Interactions — flux et localisation des données (cible)</w:t>
      </w:r>
    </w:p>
    <w:p>
      <w:r>
        <w:rPr>
          <w:b w:val="0"/>
          <w:i w:val="0"/>
        </w:rPr>
        <w:t>D'après la stack recommandée [Cahier des charges §3.3, p.15] : hébergement</w:t>
      </w:r>
    </w:p>
    <w:p>
      <w:r>
        <w:rPr>
          <w:b w:val="0"/>
          <w:i w:val="0"/>
        </w:rPr>
        <w:t>Netlify ou Vercel, données et authentification sur Supabase (PostgreSQL),</w:t>
      </w:r>
    </w:p>
    <w:p>
      <w:r>
        <w:rPr>
          <w:b w:val="0"/>
          <w:i w:val="0"/>
        </w:rPr>
        <w:t>envoi e-mail/SMS via Brevo, analyse IA de la veille via l'API Claude</w:t>
      </w:r>
    </w:p>
    <w:p>
      <w:r>
        <w:rPr>
          <w:b w:val="0"/>
          <w:i w:val="0"/>
        </w:rPr>
        <w:t>(Anthropic). **Aucune de ces localisations n'a fait l'objet d'une décision</w:t>
      </w:r>
    </w:p>
    <w:p>
      <w:r>
        <w:rPr>
          <w:b w:val="0"/>
          <w:i w:val="0"/>
        </w:rPr>
        <w:t>formelle documentée dans les sources** (pas de contrat, pas de DPA cité) : il</w:t>
      </w:r>
    </w:p>
    <w:p>
      <w:r>
        <w:rPr>
          <w:b w:val="0"/>
          <w:i w:val="0"/>
        </w:rPr>
        <w:t>s'agit de recommandations techniques, pas d'un choix arbitré par le</w:t>
      </w:r>
    </w:p>
    <w:p>
      <w:r>
        <w:rPr>
          <w:b w:val="0"/>
          <w:i w:val="0"/>
        </w:rPr>
        <w:t>référent juridique.</w:t>
      </w:r>
    </w:p>
    <w:p>
      <w:pPr>
        <w:pStyle w:val="Titre3"/>
      </w:pPr>
      <w:r>
        <w:t>Données — qualification RGPD</w:t>
      </w:r>
    </w:p>
    <w:p>
      <w:r>
        <w:rPr>
          <w:b w:val="0"/>
          <w:i w:val="0"/>
        </w:rPr>
        <w:t>Aucune donnée relevant de catégories particulières au sens de l'article 9</w:t>
      </w:r>
    </w:p>
    <w:p>
      <w:r>
        <w:rPr>
          <w:b w:val="0"/>
          <w:i w:val="0"/>
        </w:rPr>
        <w:t>RGPD n'a été identifiée dans le prototype ou les spécifications (pas de</w:t>
      </w:r>
    </w:p>
    <w:p>
      <w:r>
        <w:rPr>
          <w:b w:val="0"/>
          <w:i w:val="0"/>
        </w:rPr>
        <w:t>données de santé, opinions, origine, etc. — les données RH décrites, ex.</w:t>
      </w:r>
    </w:p>
    <w:p>
      <w:r>
        <w:rPr>
          <w:b w:val="0"/>
          <w:i w:val="0"/>
        </w:rPr>
        <w:t>identité, poste, service, sont des données personnelles courantes, hors</w:t>
      </w:r>
    </w:p>
    <w:p>
      <w:r>
        <w:rPr>
          <w:b w:val="0"/>
          <w:i w:val="0"/>
        </w:rPr>
        <w:t>catégories particulières). **Ce constat n'a pas été validé par le référent</w:t>
      </w:r>
    </w:p>
    <w:p>
      <w:r>
        <w:rPr>
          <w:b w:val="0"/>
          <w:i w:val="0"/>
        </w:rPr>
        <w:t>juridique.**</w:t>
      </w:r>
    </w:p>
    <w:p>
      <w:r>
        <w:rPr>
          <w:b w:val="0"/>
          <w:i w:val="0"/>
        </w:rPr>
        <w:t>Consentement, durée de conservation et droits des personnes concernées sont</w:t>
      </w:r>
    </w:p>
    <w:p>
      <w:r>
        <w:rPr>
          <w:b w:val="0"/>
          <w:i w:val="0"/>
        </w:rPr>
        <w:t xml:space="preserve">explicitement listés au cahier des charges comme </w:t>
      </w:r>
      <w:r>
        <w:rPr>
          <w:i/>
        </w:rPr>
        <w:t>« à prévoir »</w:t>
      </w:r>
      <w:r>
        <w:rPr>
          <w:b w:val="0"/>
          <w:i w:val="0"/>
        </w:rPr>
        <w:t xml:space="preserve"> [§3.10,</w:t>
      </w:r>
    </w:p>
    <w:p>
      <w:r>
        <w:rPr>
          <w:b w:val="0"/>
          <w:i w:val="0"/>
        </w:rPr>
        <w:t xml:space="preserve">p.18] — donc </w:t>
      </w:r>
      <w:r>
        <w:rPr>
          <w:b/>
        </w:rPr>
        <w:t>non tranchés à ce jour</w:t>
      </w:r>
      <w:r>
        <w:rPr>
          <w:b w:val="0"/>
          <w:i w:val="0"/>
        </w:rPr>
        <w:t>, ni dans les sources, ni dans le</w:t>
      </w:r>
    </w:p>
    <w:p>
      <w:r>
        <w:rPr>
          <w:b w:val="0"/>
          <w:i w:val="0"/>
        </w:rPr>
        <w:t>code. Concernant les deux formulaires Netlify identifiés ci-dessus : aucune</w:t>
      </w:r>
    </w:p>
    <w:p>
      <w:r>
        <w:rPr>
          <w:b w:val="0"/>
          <w:i w:val="0"/>
        </w:rPr>
        <w:t>mention de finalité, base légale, durée de conservation, ni information de</w:t>
      </w:r>
    </w:p>
    <w:p>
      <w:r>
        <w:rPr>
          <w:b w:val="0"/>
          <w:i w:val="0"/>
        </w:rPr>
        <w:t>la personne concernée n'a été retrouvée dans le prototype ou les</w:t>
      </w:r>
    </w:p>
    <w:p>
      <w:r>
        <w:rPr>
          <w:b w:val="0"/>
          <w:i w:val="0"/>
        </w:rPr>
        <w:t>spécifications.</w:t>
      </w:r>
    </w:p>
    <w:p>
      <w:pPr>
        <w:pStyle w:val="Titre3"/>
      </w:pPr>
      <w:r>
        <w:t>Limites et perspectives</w:t>
      </w:r>
    </w:p>
    <w:p>
      <w:r>
        <w:rPr>
          <w:b w:val="0"/>
          <w:i w:val="0"/>
        </w:rPr>
        <w:t>Points explicitement non tranchés, à faire arbitrer par le référent</w:t>
      </w:r>
    </w:p>
    <w:p>
      <w:r>
        <w:rPr>
          <w:b w:val="0"/>
          <w:i w:val="0"/>
        </w:rPr>
        <w:t>juridique avant toute mise en production réelle (même en environnement de</w:t>
      </w:r>
    </w:p>
    <w:p>
      <w:r>
        <w:rPr>
          <w:b w:val="0"/>
          <w:i w:val="0"/>
        </w:rPr>
        <w:t>recette exposé publiquement, à cause des deux formulaires Netlify) :</w:t>
      </w:r>
    </w:p>
    <w:p>
      <w:pPr>
        <w:pStyle w:val="Listepuces"/>
      </w:pPr>
      <w:r>
        <w:t>Finalité, base légale et durée de conservation des données collectées via</w:t>
      </w:r>
    </w:p>
    <w:p>
      <w:r>
        <w:rPr>
          <w:b w:val="0"/>
          <w:i w:val="0"/>
        </w:rPr>
        <w:t xml:space="preserve">   les formulaires </w:t>
      </w:r>
      <w:r>
        <w:rPr>
          <w:rFonts w:ascii="Consolas" w:hAnsi="Consolas"/>
        </w:rPr>
        <w:t>offre-lbp</w:t>
      </w:r>
      <w:r>
        <w:rPr>
          <w:b w:val="0"/>
          <w:i w:val="0"/>
        </w:rPr>
        <w:t xml:space="preserve"> et </w:t>
      </w:r>
      <w:r>
        <w:rPr>
          <w:rFonts w:ascii="Consolas" w:hAnsi="Consolas"/>
        </w:rPr>
        <w:t>contact-lbp</w:t>
      </w:r>
      <w:r>
        <w:rPr>
          <w:b w:val="0"/>
          <w:i w:val="0"/>
        </w:rPr>
        <w:t>.</w:t>
      </w:r>
    </w:p>
    <w:p>
      <w:pPr>
        <w:pStyle w:val="Listepuces"/>
      </w:pPr>
      <w:r>
        <w:t>Politique de rétention des données clients dans le modèle cible</w:t>
      </w:r>
    </w:p>
    <w:p>
      <w:r>
        <w:rPr>
          <w:b w:val="0"/>
          <w:i w:val="0"/>
        </w:rPr>
        <w:t xml:space="preserve">   (Supabase/PostgreSQL) — non spécifiée au cahier des charges au-delà du</w:t>
      </w:r>
    </w:p>
    <w:p>
      <w:r>
        <w:rPr>
          <w:b w:val="0"/>
          <w:i w:val="0"/>
        </w:rPr>
        <w:t xml:space="preserve">   principe de cloisonnement par société.</w:t>
      </w:r>
    </w:p>
    <w:p>
      <w:pPr>
        <w:pStyle w:val="Listepuces"/>
      </w:pPr>
      <w:r>
        <w:t>Localisation géographique effective de l'hébergement (Netlify/Vercel/</w:t>
      </w:r>
    </w:p>
    <w:p>
      <w:r>
        <w:rPr>
          <w:b w:val="0"/>
          <w:i w:val="0"/>
        </w:rPr>
        <w:t xml:space="preserve">   Supabase) et sous-traitance associée — à documenter formellement (registre</w:t>
      </w:r>
    </w:p>
    <w:p>
      <w:r>
        <w:rPr>
          <w:b w:val="0"/>
          <w:i w:val="0"/>
        </w:rPr>
        <w:t xml:space="preserve">   des sous-traitants).</w:t>
      </w:r>
    </w:p>
    <w:p>
      <w:pPr>
        <w:pStyle w:val="Listepuces"/>
      </w:pPr>
      <w:r>
        <w:t>Droits d'accès, de rectification et de suppression des personnes</w:t>
      </w:r>
    </w:p>
    <w:p>
      <w:r>
        <w:rPr>
          <w:b w:val="0"/>
          <w:i w:val="0"/>
        </w:rPr>
        <w:t xml:space="preserve">   concernées (collaborateurs de l'organigramme, notamment) — non</w:t>
      </w:r>
    </w:p>
    <w:p>
      <w:r>
        <w:rPr>
          <w:b w:val="0"/>
          <w:i w:val="0"/>
        </w:rPr>
        <w:t xml:space="preserve">   spécifiés.</w:t>
      </w:r>
    </w:p>
    <w:p>
      <w:pPr>
        <w:pStyle w:val="Titre3"/>
      </w:pPr>
      <w:r>
        <w:t>Preuves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ID</w:t>
            </w:r>
          </w:p>
        </w:tc>
        <w:tc>
          <w:tcPr>
            <w:tcW w:type="dxa" w:w="3288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3288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3288"/>
          </w:tcPr>
          <w:p>
            <w:r>
              <w:t>PR-C5-01</w:t>
            </w:r>
          </w:p>
        </w:tc>
        <w:tc>
          <w:tcPr>
            <w:tcW w:type="dxa" w:w="3288"/>
          </w:tcPr>
          <w:p>
            <w:r>
              <w:t>Données de démonstration fictives</w:t>
            </w:r>
          </w:p>
        </w:tc>
        <w:tc>
          <w:tcPr>
            <w:tcW w:type="dxa" w:w="3288"/>
          </w:tcPr>
          <w:p>
            <w:r>
              <w:t>`LBP_V2-20.html`, lignes 1186-1187, 1209</w:t>
            </w:r>
          </w:p>
        </w:tc>
      </w:tr>
      <w:tr>
        <w:tc>
          <w:tcPr>
            <w:tcW w:type="dxa" w:w="3288"/>
          </w:tcPr>
          <w:p>
            <w:r>
              <w:t>PR-C5-02</w:t>
            </w:r>
          </w:p>
        </w:tc>
        <w:tc>
          <w:tcPr>
            <w:tcW w:type="dxa" w:w="3288"/>
          </w:tcPr>
          <w:p>
            <w:r>
              <w:t>Collecte réelle via formulaires Netlify (prénom, e-mail, société, message libre)</w:t>
            </w:r>
          </w:p>
        </w:tc>
        <w:tc>
          <w:tcPr>
            <w:tcW w:type="dxa" w:w="3288"/>
          </w:tcPr>
          <w:p>
            <w:r>
              <w:t>`LBP_V2-20.html`, lignes 2700-2747</w:t>
            </w:r>
          </w:p>
        </w:tc>
      </w:tr>
      <w:tr>
        <w:tc>
          <w:tcPr>
            <w:tcW w:type="dxa" w:w="3288"/>
          </w:tcPr>
          <w:p>
            <w:r>
              <w:t>PR-C5-03</w:t>
            </w:r>
          </w:p>
        </w:tc>
        <w:tc>
          <w:tcPr>
            <w:tcW w:type="dxa" w:w="3288"/>
          </w:tcPr>
          <w:p>
            <w:r>
              <w:t>Absence de mesure de sécurité applicative dans le prototype</w:t>
            </w:r>
          </w:p>
        </w:tc>
        <w:tc>
          <w:tcPr>
            <w:tcW w:type="dxa" w:w="3288"/>
          </w:tcPr>
          <w:p>
            <w:r>
              <w:t>Inspection directe de `LBP_V2-20.html` (Chapitre 3)</w:t>
            </w:r>
          </w:p>
        </w:tc>
      </w:tr>
      <w:tr>
        <w:tc>
          <w:tcPr>
            <w:tcW w:type="dxa" w:w="3288"/>
          </w:tcPr>
          <w:p>
            <w:r>
              <w:t>PR-C5-04</w:t>
            </w:r>
          </w:p>
        </w:tc>
        <w:tc>
          <w:tcPr>
            <w:tcW w:type="dxa" w:w="3288"/>
          </w:tcPr>
          <w:p>
            <w:r>
              <w:t>Principes de sécurité cible (non implémentés)</w:t>
            </w:r>
          </w:p>
        </w:tc>
        <w:tc>
          <w:tcPr>
            <w:tcW w:type="dxa" w:w="3288"/>
          </w:tcPr>
          <w:p>
            <w:r>
              <w:t>Cahier des charges §3.10, p.18</w:t>
            </w:r>
          </w:p>
        </w:tc>
      </w:tr>
      <w:tr>
        <w:tc>
          <w:tcPr>
            <w:tcW w:type="dxa" w:w="3288"/>
          </w:tcPr>
          <w:p>
            <w:r>
              <w:t>PR-C5-05</w:t>
            </w:r>
          </w:p>
        </w:tc>
        <w:tc>
          <w:tcPr>
            <w:tcW w:type="dxa" w:w="3288"/>
          </w:tcPr>
          <w:p>
            <w:r>
              <w:t>Éditeur sans accès aux mots de passe clients (principe posé)</w:t>
            </w:r>
          </w:p>
        </w:tc>
        <w:tc>
          <w:tcPr>
            <w:tcW w:type="dxa" w:w="3288"/>
          </w:tcPr>
          <w:p>
            <w:r>
              <w:t>Cahier des charges §3.5 p.16, §9 p.44</w:t>
            </w:r>
          </w:p>
        </w:tc>
      </w:tr>
      <w:tr>
        <w:tc>
          <w:tcPr>
            <w:tcW w:type="dxa" w:w="3288"/>
          </w:tcPr>
          <w:p>
            <w:r>
              <w:t>PR-C5-06</w:t>
            </w:r>
          </w:p>
        </w:tc>
        <w:tc>
          <w:tcPr>
            <w:tcW w:type="dxa" w:w="3288"/>
          </w:tcPr>
          <w:p>
            <w:r>
              <w:t>Consentement/conservation/droits « à prévoir » (non tranchés)</w:t>
            </w:r>
          </w:p>
        </w:tc>
        <w:tc>
          <w:tcPr>
            <w:tcW w:type="dxa" w:w="3288"/>
          </w:tcPr>
          <w:p>
            <w:r>
              <w:t>Cahier des charges §3.10, p.18</w:t>
            </w:r>
          </w:p>
        </w:tc>
      </w:tr>
    </w:tbl>
    <w:p/>
    <w:p>
      <w:pPr>
        <w:pStyle w:val="Titre2"/>
      </w:pPr>
      <w:r>
        <w:t>Chapitre 6 — Risques et transmissibilité</w:t>
      </w:r>
    </w:p>
    <w:p>
      <w:r>
        <w:rPr>
          <w:b/>
        </w:rPr>
        <w:t>Pilotes :</w:t>
      </w:r>
      <w:r>
        <w:rPr>
          <w:b w:val="0"/>
          <w:i w:val="0"/>
        </w:rPr>
        <w:t xml:space="preserve"> direction technique (Almamy CAMARA) + porteur produit (Pauline</w:t>
      </w:r>
    </w:p>
    <w:p>
      <w:r>
        <w:rPr>
          <w:b w:val="0"/>
          <w:i w:val="0"/>
        </w:rPr>
        <w:t>LETOURNEUR).</w:t>
      </w:r>
    </w:p>
    <w:p>
      <w:pPr>
        <w:pStyle w:val="Titre3"/>
      </w:pPr>
      <w:r>
        <w:t>Introduction</w:t>
      </w:r>
    </w:p>
    <w:p>
      <w:r>
        <w:rPr>
          <w:b w:val="0"/>
          <w:i w:val="0"/>
        </w:rPr>
        <w:t xml:space="preserve">Ce chapitre consolide les risques </w:t>
      </w:r>
      <w:r>
        <w:rPr>
          <w:b/>
        </w:rPr>
        <w:t>déclarés par l'équipe elle-même</w:t>
      </w:r>
      <w:r>
        <w:rPr>
          <w:b w:val="0"/>
          <w:i w:val="0"/>
        </w:rPr>
        <w:t xml:space="preserve"> dans</w:t>
      </w:r>
    </w:p>
    <w:p>
      <w:r>
        <w:rPr>
          <w:b w:val="0"/>
          <w:i w:val="0"/>
        </w:rPr>
        <w:t xml:space="preserve">le cahier des charges, ceux </w:t>
      </w:r>
      <w:r>
        <w:rPr>
          <w:b/>
        </w:rPr>
        <w:t>vérifiés dans le code</w:t>
      </w:r>
      <w:r>
        <w:rPr>
          <w:b w:val="0"/>
          <w:i w:val="0"/>
        </w:rPr>
        <w:t xml:space="preserve"> par un rapport dédié,</w:t>
      </w:r>
    </w:p>
    <w:p>
      <w:r>
        <w:rPr>
          <w:b w:val="0"/>
          <w:i w:val="0"/>
        </w:rPr>
        <w:t>et notre propre vérification croisée sur la version actuelle du prototype.</w:t>
      </w:r>
    </w:p>
    <w:p>
      <w:pPr>
        <w:pStyle w:val="Titre3"/>
      </w:pPr>
      <w:r>
        <w:t>Architecture — dépendances techniques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Dépendance</w:t>
            </w:r>
          </w:p>
        </w:tc>
        <w:tc>
          <w:tcPr>
            <w:tcW w:type="dxa" w:w="246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66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466"/>
          </w:tcPr>
          <w:p>
            <w:r>
              <w:rPr>
                <w:b/>
              </w:rPr>
              <w:t>Risque associé</w:t>
            </w:r>
          </w:p>
        </w:tc>
      </w:tr>
      <w:tr>
        <w:tc>
          <w:tcPr>
            <w:tcW w:type="dxa" w:w="2466"/>
          </w:tcPr>
          <w:p>
            <w:r>
              <w:t>mammoth.js</w:t>
            </w:r>
          </w:p>
        </w:tc>
        <w:tc>
          <w:tcPr>
            <w:tcW w:type="dxa" w:w="2466"/>
          </w:tcPr>
          <w:p>
            <w:r>
              <w:t>1.6.0 (CDN cdnjs)</w:t>
            </w:r>
          </w:p>
        </w:tc>
        <w:tc>
          <w:tcPr>
            <w:tcW w:type="dxa" w:w="2466"/>
          </w:tcPr>
          <w:p>
            <w:r>
              <w:t>Import de fichiers Word</w:t>
            </w:r>
          </w:p>
        </w:tc>
        <w:tc>
          <w:tcPr>
            <w:tcW w:type="dxa" w:w="2466"/>
          </w:tcPr>
          <w:p>
            <w:r>
              <w:t>Fonctionnalité indisponible hors connexion Internet (le code le détecte et alerte l'utilisateur, `typeof mammoth==='undefined'`, lignes 2796, 2987)</w:t>
            </w:r>
          </w:p>
        </w:tc>
      </w:tr>
      <w:tr>
        <w:tc>
          <w:tcPr>
            <w:tcW w:type="dxa" w:w="2466"/>
          </w:tcPr>
          <w:p>
            <w:r>
              <w:t>Google Fonts</w:t>
            </w:r>
          </w:p>
        </w:tc>
        <w:tc>
          <w:tcPr>
            <w:tcW w:type="dxa" w:w="2466"/>
          </w:tcPr>
          <w:p>
            <w:r>
              <w:t>Plus Jakarta Sans, Inter</w:t>
            </w:r>
          </w:p>
        </w:tc>
        <w:tc>
          <w:tcPr>
            <w:tcW w:type="dxa" w:w="2466"/>
          </w:tcPr>
          <w:p>
            <w:r>
              <w:t>Typographie</w:t>
            </w:r>
          </w:p>
        </w:tc>
        <w:tc>
          <w:tcPr>
            <w:tcW w:type="dxa" w:w="2466"/>
          </w:tcPr>
          <w:p>
            <w:r>
              <w:t>Dépendance à un service tiers, aucune police de repli locale identifiée</w:t>
            </w:r>
          </w:p>
        </w:tc>
      </w:tr>
      <w:tr>
        <w:tc>
          <w:tcPr>
            <w:tcW w:type="dxa" w:w="2466"/>
          </w:tcPr>
          <w:p>
            <w:r>
              <w:t>Netlify Forms (implicite)</w:t>
            </w:r>
          </w:p>
        </w:tc>
        <w:tc>
          <w:tcPr>
            <w:tcW w:type="dxa" w:w="2466"/>
          </w:tcPr>
          <w:p>
            <w:r>
              <w:t>—</w:t>
            </w:r>
          </w:p>
        </w:tc>
        <w:tc>
          <w:tcPr>
            <w:tcW w:type="dxa" w:w="2466"/>
          </w:tcPr>
          <w:p>
            <w:r>
              <w:t>Réception des 2 formulaires</w:t>
            </w:r>
          </w:p>
        </w:tc>
        <w:tc>
          <w:tcPr>
            <w:tcW w:type="dxa" w:w="2466"/>
          </w:tcPr>
          <w:p>
            <w:r>
              <w:t>Suppose un déploiement effectif sur Netlify ; aucun test de bout en bout retrouvé</w:t>
            </w:r>
          </w:p>
        </w:tc>
      </w:tr>
    </w:tbl>
    <w:p/>
    <w:p>
      <w:pPr>
        <w:pStyle w:val="Titre3"/>
      </w:pPr>
      <w:r>
        <w:t>Fonctionnement — dette technique et bugs déclarés/vérifiés</w:t>
      </w:r>
    </w:p>
    <w:p>
      <w:r>
        <w:rPr>
          <w:b/>
        </w:rPr>
        <w:t>17 points déclarés par le cahier des charges lui-même</w:t>
      </w:r>
      <w:r>
        <w:rPr>
          <w:b w:val="0"/>
          <w:i w:val="0"/>
        </w:rPr>
        <w:t xml:space="preserve"> [§6, p.33-36],</w:t>
      </w:r>
    </w:p>
    <w:p>
      <w:r>
        <w:rPr>
          <w:b w:val="0"/>
          <w:i w:val="0"/>
        </w:rPr>
        <w:t>classés par nous selon leur criticité apparente :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#</w:t>
            </w:r>
          </w:p>
        </w:tc>
        <w:tc>
          <w:tcPr>
            <w:tcW w:type="dxa" w:w="2466"/>
          </w:tcPr>
          <w:p>
            <w:r>
              <w:rPr>
                <w:b/>
              </w:rPr>
              <w:t>Sujet</w:t>
            </w:r>
          </w:p>
        </w:tc>
        <w:tc>
          <w:tcPr>
            <w:tcW w:type="dxa" w:w="2466"/>
          </w:tcPr>
          <w:p>
            <w:r>
              <w:rPr>
                <w:b/>
              </w:rPr>
              <w:t>Criticité (analyse)</w:t>
            </w:r>
          </w:p>
        </w:tc>
        <w:tc>
          <w:tcPr>
            <w:tcW w:type="dxa" w:w="2466"/>
          </w:tcPr>
          <w:p>
            <w:r>
              <w:rPr>
                <w:b/>
              </w:rPr>
              <w:t>Statut vérifié dans `LBP_V2-20.html`</w:t>
            </w:r>
          </w:p>
        </w:tc>
      </w:tr>
      <w:tr>
        <w:tc>
          <w:tcPr>
            <w:tcW w:type="dxa" w:w="2466"/>
          </w:tcPr>
          <w:p>
            <w:r>
              <w:t>6.2</w:t>
            </w:r>
          </w:p>
        </w:tc>
        <w:tc>
          <w:tcPr>
            <w:tcW w:type="dxa" w:w="2466"/>
          </w:tcPr>
          <w:p>
            <w:r>
              <w:t>Aucune persistance des données</w:t>
            </w:r>
          </w:p>
        </w:tc>
        <w:tc>
          <w:tcPr>
            <w:tcW w:type="dxa" w:w="2466"/>
          </w:tcPr>
          <w:p>
            <w:r>
              <w:t>**Bloquante**</w:t>
            </w:r>
          </w:p>
        </w:tc>
        <w:tc>
          <w:tcPr>
            <w:tcW w:type="dxa" w:w="2466"/>
          </w:tcPr>
          <w:p>
            <w:r>
              <w:t>Confirmé (Chapitre 3)</w:t>
            </w:r>
          </w:p>
        </w:tc>
      </w:tr>
      <w:tr>
        <w:tc>
          <w:tcPr>
            <w:tcW w:type="dxa" w:w="2466"/>
          </w:tcPr>
          <w:p>
            <w:r>
              <w:t>6.5</w:t>
            </w:r>
          </w:p>
        </w:tc>
        <w:tc>
          <w:tcPr>
            <w:tcW w:type="dxa" w:w="2466"/>
          </w:tcPr>
          <w:p>
            <w:r>
              <w:t>Authentification non opérationnelle</w:t>
            </w:r>
          </w:p>
        </w:tc>
        <w:tc>
          <w:tcPr>
            <w:tcW w:type="dxa" w:w="2466"/>
          </w:tcPr>
          <w:p>
            <w:r>
              <w:t>**Bloquante**</w:t>
            </w:r>
          </w:p>
        </w:tc>
        <w:tc>
          <w:tcPr>
            <w:tcW w:type="dxa" w:w="2466"/>
          </w:tcPr>
          <w:p>
            <w:r>
              <w:t>Confirmé (Chapitre 3 : garde côté client uniquement)</w:t>
            </w:r>
          </w:p>
        </w:tc>
      </w:tr>
      <w:tr>
        <w:tc>
          <w:tcPr>
            <w:tcW w:type="dxa" w:w="2466"/>
          </w:tcPr>
          <w:p>
            <w:r>
              <w:t>6.15</w:t>
            </w:r>
          </w:p>
        </w:tc>
        <w:tc>
          <w:tcPr>
            <w:tcW w:type="dxa" w:w="2466"/>
          </w:tcPr>
          <w:p>
            <w:r>
              <w:t>Multi-sociétés non géré</w:t>
            </w:r>
          </w:p>
        </w:tc>
        <w:tc>
          <w:tcPr>
            <w:tcW w:type="dxa" w:w="2466"/>
          </w:tcPr>
          <w:p>
            <w:r>
              <w:t>**Bloquante**</w:t>
            </w:r>
          </w:p>
        </w:tc>
        <w:tc>
          <w:tcPr>
            <w:tcW w:type="dxa" w:w="2466"/>
          </w:tcPr>
          <w:p>
            <w:r>
              <w:t>Non re-testé directement, cohérent avec l'absence de persistance</w:t>
            </w:r>
          </w:p>
        </w:tc>
      </w:tr>
      <w:tr>
        <w:tc>
          <w:tcPr>
            <w:tcW w:type="dxa" w:w="2466"/>
          </w:tcPr>
          <w:p>
            <w:r>
              <w:t>6.3</w:t>
            </w:r>
          </w:p>
        </w:tc>
        <w:tc>
          <w:tcPr>
            <w:tcW w:type="dxa" w:w="2466"/>
          </w:tcPr>
          <w:p>
            <w:r>
              <w:t>Veille quotidienne non exécutée</w:t>
            </w:r>
          </w:p>
        </w:tc>
        <w:tc>
          <w:tcPr>
            <w:tcW w:type="dxa" w:w="2466"/>
          </w:tcPr>
          <w:p>
            <w:r>
              <w:t>Haute</w:t>
            </w:r>
          </w:p>
        </w:tc>
        <w:tc>
          <w:tcPr>
            <w:tcW w:type="dxa" w:w="2466"/>
          </w:tcPr>
          <w:p>
            <w:r>
              <w:t>Confirmé — `VEILLE` est un tableau statique, aucune tâche planifiée dans le dossier</w:t>
            </w:r>
          </w:p>
        </w:tc>
      </w:tr>
      <w:tr>
        <w:tc>
          <w:tcPr>
            <w:tcW w:type="dxa" w:w="2466"/>
          </w:tcPr>
          <w:p>
            <w:r>
              <w:t>6.4</w:t>
            </w:r>
          </w:p>
        </w:tc>
        <w:tc>
          <w:tcPr>
            <w:tcW w:type="dxa" w:w="2466"/>
          </w:tcPr>
          <w:p>
            <w:r>
              <w:t>E-mail et SMS non envoyés</w:t>
            </w:r>
          </w:p>
        </w:tc>
        <w:tc>
          <w:tcPr>
            <w:tcW w:type="dxa" w:w="2466"/>
          </w:tcPr>
          <w:p>
            <w:r>
              <w:t>Haute</w:t>
            </w:r>
          </w:p>
        </w:tc>
        <w:tc>
          <w:tcPr>
            <w:tcW w:type="dxa" w:w="2466"/>
          </w:tcPr>
          <w:p>
            <w:r>
              <w:t>Cohérent avec l'absence de back-office</w:t>
            </w:r>
          </w:p>
        </w:tc>
      </w:tr>
      <w:tr>
        <w:tc>
          <w:tcPr>
            <w:tcW w:type="dxa" w:w="2466"/>
          </w:tcPr>
          <w:p>
            <w:r>
              <w:t>6.7</w:t>
            </w:r>
          </w:p>
        </w:tc>
        <w:tc>
          <w:tcPr>
            <w:tcW w:type="dxa" w:w="2466"/>
          </w:tcPr>
          <w:p>
            <w:r>
              <w:t>Notifications push mobiles absentes</w:t>
            </w:r>
          </w:p>
        </w:tc>
        <w:tc>
          <w:tcPr>
            <w:tcW w:type="dxa" w:w="2466"/>
          </w:tcPr>
          <w:p>
            <w:r>
              <w:t>Haute</w:t>
            </w:r>
          </w:p>
        </w:tc>
        <w:tc>
          <w:tcPr>
            <w:tcW w:type="dxa" w:w="2466"/>
          </w:tcPr>
          <w:p>
            <w:r>
              <w:t>Sans objet (pas d'application mobile)</w:t>
            </w:r>
          </w:p>
        </w:tc>
      </w:tr>
      <w:tr>
        <w:tc>
          <w:tcPr>
            <w:tcW w:type="dxa" w:w="2466"/>
          </w:tcPr>
          <w:p>
            <w:r>
              <w:t>6.11</w:t>
            </w:r>
          </w:p>
        </w:tc>
        <w:tc>
          <w:tcPr>
            <w:tcW w:type="dxa" w:w="2466"/>
          </w:tcPr>
          <w:p>
            <w:r>
              <w:t>Gestion documentaire inexistante</w:t>
            </w:r>
          </w:p>
        </w:tc>
        <w:tc>
          <w:tcPr>
            <w:tcW w:type="dxa" w:w="2466"/>
          </w:tcPr>
          <w:p>
            <w:r>
              <w:t>Haute</w:t>
            </w:r>
          </w:p>
        </w:tc>
        <w:tc>
          <w:tcPr>
            <w:tcW w:type="dxa" w:w="2466"/>
          </w:tcPr>
          <w:p>
            <w:r>
              <w:t>Confirmé — `DOCS` est un référentiel statique sans upload réel</w:t>
            </w:r>
          </w:p>
        </w:tc>
      </w:tr>
      <w:tr>
        <w:tc>
          <w:tcPr>
            <w:tcW w:type="dxa" w:w="2466"/>
          </w:tcPr>
          <w:p>
            <w:r>
              <w:t>6.13</w:t>
            </w:r>
          </w:p>
        </w:tc>
        <w:tc>
          <w:tcPr>
            <w:tcW w:type="dxa" w:w="2466"/>
          </w:tcPr>
          <w:p>
            <w:r>
              <w:t>Tests, journalisation, supervision absents</w:t>
            </w:r>
          </w:p>
        </w:tc>
        <w:tc>
          <w:tcPr>
            <w:tcW w:type="dxa" w:w="2466"/>
          </w:tcPr>
          <w:p>
            <w:r>
              <w:t>Haute</w:t>
            </w:r>
          </w:p>
        </w:tc>
        <w:tc>
          <w:tcPr>
            <w:tcW w:type="dxa" w:w="2466"/>
          </w:tcPr>
          <w:p>
            <w:r>
              <w:t>Confirmé — aucun fichier de test dans le dossier</w:t>
            </w:r>
          </w:p>
        </w:tc>
      </w:tr>
      <w:tr>
        <w:tc>
          <w:tcPr>
            <w:tcW w:type="dxa" w:w="2466"/>
          </w:tcPr>
          <w:p>
            <w:r>
              <w:t>6.1</w:t>
            </w:r>
          </w:p>
        </w:tc>
        <w:tc>
          <w:tcPr>
            <w:tcW w:type="dxa" w:w="2466"/>
          </w:tcPr>
          <w:p>
            <w:r>
              <w:t>Calendrier RH — à enrichir et maintenir</w:t>
            </w:r>
          </w:p>
        </w:tc>
        <w:tc>
          <w:tcPr>
            <w:tcW w:type="dxa" w:w="2466"/>
          </w:tcPr>
          <w:p>
            <w:r>
              <w:t>Moyenne</w:t>
            </w:r>
          </w:p>
        </w:tc>
        <w:tc>
          <w:tcPr>
            <w:tcW w:type="dxa" w:w="2466"/>
          </w:tcPr>
          <w:p>
            <w:r>
              <w:t>Base de ~70 règles confirmée (Chapitre 4), enrichissement non chiffré</w:t>
            </w:r>
          </w:p>
        </w:tc>
      </w:tr>
      <w:tr>
        <w:tc>
          <w:tcPr>
            <w:tcW w:type="dxa" w:w="2466"/>
          </w:tcPr>
          <w:p>
            <w:r>
              <w:t>6.6</w:t>
            </w:r>
          </w:p>
        </w:tc>
        <w:tc>
          <w:tcPr>
            <w:tcW w:type="dxa" w:w="2466"/>
          </w:tcPr>
          <w:p>
            <w:r>
              <w:t>Import Word fragile</w:t>
            </w:r>
          </w:p>
        </w:tc>
        <w:tc>
          <w:tcPr>
            <w:tcW w:type="dxa" w:w="2466"/>
          </w:tcPr>
          <w:p>
            <w:r>
              <w:t>Moyenne</w:t>
            </w:r>
          </w:p>
        </w:tc>
        <w:tc>
          <w:tcPr>
            <w:tcW w:type="dxa" w:w="2466"/>
          </w:tcPr>
          <w:p>
            <w:r>
              <w:t>**Confirmé** — le code vérifie lui-même `typeof mammoth==='undefined'` et alerte, lignes 2796, 2987</w:t>
            </w:r>
          </w:p>
        </w:tc>
      </w:tr>
      <w:tr>
        <w:tc>
          <w:tcPr>
            <w:tcW w:type="dxa" w:w="2466"/>
          </w:tcPr>
          <w:p>
            <w:r>
              <w:t>6.8</w:t>
            </w:r>
          </w:p>
        </w:tc>
        <w:tc>
          <w:tcPr>
            <w:tcW w:type="dxa" w:w="2466"/>
          </w:tcPr>
          <w:p>
            <w:r>
              <w:t>Recherche globale limitée</w:t>
            </w:r>
          </w:p>
        </w:tc>
        <w:tc>
          <w:tcPr>
            <w:tcW w:type="dxa" w:w="2466"/>
          </w:tcPr>
          <w:p>
            <w:r>
              <w:t>Moyenne</w:t>
            </w:r>
          </w:p>
        </w:tc>
        <w:tc>
          <w:tcPr>
            <w:tcW w:type="dxa" w:w="2466"/>
          </w:tcPr>
          <w:p>
            <w:r>
              <w:t>**Partiellement obsolète** — la normalisation accents/casse (`normText`) est bien implémentée (Chapitre 4) ; la couverture multi-contenus (articles/quiz/veille) n'a pas été vérifiée exhaustivement</w:t>
            </w:r>
          </w:p>
        </w:tc>
      </w:tr>
      <w:tr>
        <w:tc>
          <w:tcPr>
            <w:tcW w:type="dxa" w:w="2466"/>
          </w:tcPr>
          <w:p>
            <w:r>
              <w:t>6.9</w:t>
            </w:r>
          </w:p>
        </w:tc>
        <w:tc>
          <w:tcPr>
            <w:tcW w:type="dxa" w:w="2466"/>
          </w:tcPr>
          <w:p>
            <w:r>
              <w:t>Avatars embarqués — poids du fichier</w:t>
            </w:r>
          </w:p>
        </w:tc>
        <w:tc>
          <w:tcPr>
            <w:tcW w:type="dxa" w:w="2466"/>
          </w:tcPr>
          <w:p>
            <w:r>
              <w:t>Moyenne</w:t>
            </w:r>
          </w:p>
        </w:tc>
        <w:tc>
          <w:tcPr>
            <w:tcW w:type="dxa" w:w="2466"/>
          </w:tcPr>
          <w:p>
            <w:r>
              <w:t>Non re-mesuré pour cette amorce</w:t>
            </w:r>
          </w:p>
        </w:tc>
      </w:tr>
      <w:tr>
        <w:tc>
          <w:tcPr>
            <w:tcW w:type="dxa" w:w="2466"/>
          </w:tcPr>
          <w:p>
            <w:r>
              <w:t>6.10</w:t>
            </w:r>
          </w:p>
        </w:tc>
        <w:tc>
          <w:tcPr>
            <w:tcW w:type="dxa" w:w="2466"/>
          </w:tcPr>
          <w:p>
            <w:r>
              <w:t>Numérotation des thèmes — double identifiant</w:t>
            </w:r>
          </w:p>
        </w:tc>
        <w:tc>
          <w:tcPr>
            <w:tcW w:type="dxa" w:w="2466"/>
          </w:tcPr>
          <w:p>
            <w:r>
              <w:t>Moyenne</w:t>
            </w:r>
          </w:p>
        </w:tc>
        <w:tc>
          <w:tcPr>
            <w:tcW w:type="dxa" w:w="2466"/>
          </w:tcPr>
          <w:p>
            <w:r>
              <w:t>Confirmé — `THEMES.n` (identifiant interne, ex. « 20 », « 30 ») distinct du rang d'affichage recalculé par `themeDispNum()`, ligne 2357</w:t>
            </w:r>
          </w:p>
        </w:tc>
      </w:tr>
      <w:tr>
        <w:tc>
          <w:tcPr>
            <w:tcW w:type="dxa" w:w="2466"/>
          </w:tcPr>
          <w:p>
            <w:r>
              <w:t>6.12</w:t>
            </w:r>
          </w:p>
        </w:tc>
        <w:tc>
          <w:tcPr>
            <w:tcW w:type="dxa" w:w="2466"/>
          </w:tcPr>
          <w:p>
            <w:r>
              <w:t>Assistance non connectée</w:t>
            </w:r>
          </w:p>
        </w:tc>
        <w:tc>
          <w:tcPr>
            <w:tcW w:type="dxa" w:w="2466"/>
          </w:tcPr>
          <w:p>
            <w:r>
              <w:t>Moyenne</w:t>
            </w:r>
          </w:p>
        </w:tc>
        <w:tc>
          <w:tcPr>
            <w:tcW w:type="dxa" w:w="2466"/>
          </w:tcPr>
          <w:p>
            <w:r>
              <w:t>**Partiellement obsolète** — le widget envoie désormais réellement les messages vers un formulaire Netlify (`sendChat()`, ligne 2737), mais aucune réponse humaine réelle n'est reçue (réponse simulée par `setTimeout`, ligne 2748)</w:t>
            </w:r>
          </w:p>
        </w:tc>
      </w:tr>
      <w:tr>
        <w:tc>
          <w:tcPr>
            <w:tcW w:type="dxa" w:w="2466"/>
          </w:tcPr>
          <w:p>
            <w:r>
              <w:t>6.14</w:t>
            </w:r>
          </w:p>
        </w:tc>
        <w:tc>
          <w:tcPr>
            <w:tcW w:type="dxa" w:w="2466"/>
          </w:tcPr>
          <w:p>
            <w:r>
              <w:t>Accessibilité et responsive non validés</w:t>
            </w:r>
          </w:p>
        </w:tc>
        <w:tc>
          <w:tcPr>
            <w:tcW w:type="dxa" w:w="2466"/>
          </w:tcPr>
          <w:p>
            <w:r>
              <w:t>Moyenne</w:t>
            </w:r>
          </w:p>
        </w:tc>
        <w:tc>
          <w:tcPr>
            <w:tcW w:type="dxa" w:w="2466"/>
          </w:tcPr>
          <w:p>
            <w:r>
              <w:t>**Partiellement traité** — un audit dédié a donné lieu à des corrections de contraste WCAG 2.1 AA effectivement appliquées (voir ci-dessous) ; couverture complète non re-vérifiée par nous</w:t>
            </w:r>
          </w:p>
        </w:tc>
      </w:tr>
    </w:tbl>
    <w:p/>
    <w:p>
      <w:r>
        <w:rPr>
          <w:b w:val="0"/>
          <w:i w:val="0"/>
        </w:rPr>
        <w:t xml:space="preserve">**Écarts vérifiés par nous entre </w:t>
      </w:r>
      <w:r>
        <w:rPr>
          <w:rFonts w:ascii="Consolas" w:hAnsi="Consolas"/>
        </w:rPr>
        <w:t>RAPPORT_VERIFICATION_CONSTATS_TERRAIN.md</w:t>
      </w:r>
    </w:p>
    <w:p>
      <w:r>
        <w:rPr>
          <w:b w:val="0"/>
          <w:i w:val="0"/>
        </w:rPr>
        <w:t xml:space="preserve">(établi sur </w:t>
      </w:r>
      <w:r>
        <w:rPr>
          <w:rFonts w:ascii="Consolas" w:hAnsi="Consolas"/>
        </w:rPr>
        <w:t>copie_LBP.html</w:t>
      </w:r>
      <w:r>
        <w:rPr>
          <w:b w:val="0"/>
          <w:i w:val="0"/>
        </w:rPr>
        <w:t>, version antérieure) et l'état actuel de</w:t>
      </w:r>
    </w:p>
    <w:p>
      <w:r>
        <w:rPr>
          <w:rFonts w:ascii="Consolas" w:hAnsi="Consolas"/>
        </w:rPr>
        <w:t>LBP_V2-20.html</w:t>
      </w:r>
      <w:r>
        <w:rPr>
          <w:b w:val="0"/>
          <w:i w:val="0"/>
        </w:rPr>
        <w:t>** :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Constat du rapport</w:t>
            </w:r>
          </w:p>
        </w:tc>
        <w:tc>
          <w:tcPr>
            <w:tcW w:type="dxa" w:w="3288"/>
          </w:tcPr>
          <w:p>
            <w:r>
              <w:rPr>
                <w:b/>
              </w:rPr>
              <w:t>État dans `copie_LBP.html`</w:t>
            </w:r>
          </w:p>
        </w:tc>
        <w:tc>
          <w:tcPr>
            <w:tcW w:type="dxa" w:w="3288"/>
          </w:tcPr>
          <w:p>
            <w:r>
              <w:rPr>
                <w:b/>
              </w:rPr>
              <w:t>État vérifié dans `LBP_V2-20.html`</w:t>
            </w:r>
          </w:p>
        </w:tc>
      </w:tr>
      <w:tr>
        <w:tc>
          <w:tcPr>
            <w:tcW w:type="dxa" w:w="3288"/>
          </w:tcPr>
          <w:p>
            <w:r>
              <w:t>01 — Fiche créée depuis la veille visible client sans validation</w:t>
            </w:r>
          </w:p>
        </w:tc>
        <w:tc>
          <w:tcPr>
            <w:tcW w:type="dxa" w:w="3288"/>
          </w:tcPr>
          <w:p>
            <w:r>
              <w:t>Bug confirmé (`fichePublished` retournait `true` par défaut)</w:t>
            </w:r>
          </w:p>
        </w:tc>
        <w:tc>
          <w:tcPr>
            <w:tcW w:type="dxa" w:w="3288"/>
          </w:tcPr>
          <w:p>
            <w:r>
              <w:t>**Corrigé** — `fichePublished` retourne désormais `false` par défaut, ligne 2754</w:t>
            </w:r>
          </w:p>
        </w:tc>
      </w:tr>
      <w:tr>
        <w:tc>
          <w:tcPr>
            <w:tcW w:type="dxa" w:w="3288"/>
          </w:tcPr>
          <w:p>
            <w:r>
              <w:t>02 — Verrouillage par offre limité à 1 bloc sur 5</w:t>
            </w:r>
          </w:p>
        </w:tc>
        <w:tc>
          <w:tcPr>
            <w:tcW w:type="dxa" w:w="3288"/>
          </w:tcPr>
          <w:p>
            <w:r>
              <w:t>Oubli confirmé</w:t>
            </w:r>
          </w:p>
        </w:tc>
        <w:tc>
          <w:tcPr>
            <w:tcW w:type="dxa" w:w="3288"/>
          </w:tcPr>
          <w:p>
            <w:r>
              <w:t>**Toujours présent**, lignes 2478-2483 (voir Chapitre 4)</w:t>
            </w:r>
          </w:p>
        </w:tc>
      </w:tr>
      <w:tr>
        <w:tc>
          <w:tcPr>
            <w:tcW w:type="dxa" w:w="3288"/>
          </w:tcPr>
          <w:p>
            <w:r>
              <w:t>03 — Changement d'offre sans validation</w:t>
            </w:r>
          </w:p>
        </w:tc>
        <w:tc>
          <w:tcPr>
            <w:tcW w:type="dxa" w:w="3288"/>
          </w:tcPr>
          <w:p>
            <w:r>
              <w:t>Oubli confirmé</w:t>
            </w:r>
          </w:p>
        </w:tc>
        <w:tc>
          <w:tcPr>
            <w:tcW w:type="dxa" w:w="3288"/>
          </w:tcPr>
          <w:p>
            <w:r>
              <w:t>**Partiellement corrigé** — une boîte de confirmation a été ajoutée (`applyTier`, ligne 1309-1312), mais son propre texte reconnaît l'absence de récapitulatif de prix et de CGV</w:t>
            </w:r>
          </w:p>
        </w:tc>
      </w:tr>
      <w:tr>
        <w:tc>
          <w:tcPr>
            <w:tcW w:type="dxa" w:w="3288"/>
          </w:tcPr>
          <w:p>
            <w:r>
              <w:t>05, 06, 07, 09</w:t>
            </w:r>
          </w:p>
        </w:tc>
        <w:tc>
          <w:tcPr>
            <w:tcW w:type="dxa" w:w="3288"/>
          </w:tcPr>
          <w:p>
            <w:r>
              <w:t>Bugs/oublis confirmés sur `copie_LBP.html`</w:t>
            </w:r>
          </w:p>
        </w:tc>
        <w:tc>
          <w:tcPr>
            <w:tcW w:type="dxa" w:w="3288"/>
          </w:tcPr>
          <w:p>
            <w:r>
              <w:t>07 corrigé (Chapitre 4) ; **05, 06, 09 non re-vérifiés par nous sur `LBP_V2-20.html`** — à ne pas présumer corrigés ni présents</w:t>
            </w:r>
          </w:p>
        </w:tc>
      </w:tr>
    </w:tbl>
    <w:p/>
    <w:p>
      <w:r>
        <w:rPr>
          <w:b/>
        </w:rPr>
        <w:t>Corrections d'accessibilité déjà appliquées</w:t>
      </w:r>
      <w:r>
        <w:rPr>
          <w:b w:val="0"/>
          <w:i w:val="0"/>
        </w:rPr>
        <w:t xml:space="preserve"> [</w:t>
      </w:r>
      <w:r>
        <w:rPr>
          <w:rFonts w:ascii="Consolas" w:hAnsi="Consolas"/>
        </w:rPr>
        <w:t>MODIFICATIONS_LBP_V2-20.md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>8 septembre 2026, lui-même issu d'un audit UX/UI et accessibilité non relu</w:t>
      </w:r>
    </w:p>
    <w:p>
      <w:r>
        <w:rPr>
          <w:b w:val="0"/>
          <w:i w:val="0"/>
        </w:rPr>
        <w:t xml:space="preserve">directement pour ce cahier] : variable </w:t>
      </w:r>
      <w:r>
        <w:rPr>
          <w:rFonts w:ascii="Consolas" w:hAnsi="Consolas"/>
        </w:rPr>
        <w:t>--ink-soft</w:t>
      </w:r>
      <w:r>
        <w:rPr>
          <w:b w:val="0"/>
          <w:i w:val="0"/>
        </w:rPr>
        <w:t xml:space="preserve"> recalée de </w:t>
      </w:r>
      <w:r>
        <w:rPr>
          <w:rFonts w:ascii="Consolas" w:hAnsi="Consolas"/>
        </w:rPr>
        <w:t>#78766E</w:t>
      </w:r>
      <w:r>
        <w:rPr>
          <w:b w:val="0"/>
          <w:i w:val="0"/>
        </w:rPr>
        <w:t xml:space="preserve"> à</w:t>
      </w:r>
    </w:p>
    <w:p>
      <w:r>
        <w:rPr>
          <w:rFonts w:ascii="Consolas" w:hAnsi="Consolas"/>
        </w:rPr>
        <w:t>#595750</w:t>
      </w:r>
      <w:r>
        <w:rPr>
          <w:b w:val="0"/>
          <w:i w:val="0"/>
        </w:rPr>
        <w:t xml:space="preserve"> pour remonter plusieurs ratios de contraste sous le seuil WCAG AA</w:t>
      </w:r>
    </w:p>
    <w:p>
      <w:r>
        <w:rPr>
          <w:b w:val="0"/>
          <w:i w:val="0"/>
        </w:rPr>
        <w:t>(4,5:1) au-dessus de ce seuil, et correction de la couleur du badge</w:t>
      </w:r>
    </w:p>
    <w:p>
      <w:r>
        <w:rPr>
          <w:b w:val="0"/>
          <w:i w:val="0"/>
        </w:rPr>
        <w:t>« Réglementation » (</w:t>
      </w:r>
      <w:r>
        <w:rPr>
          <w:rFonts w:ascii="Consolas" w:hAnsi="Consolas"/>
        </w:rPr>
        <w:t>.col.reg h5</w:t>
      </w:r>
      <w:r>
        <w:rPr>
          <w:b w:val="0"/>
          <w:i w:val="0"/>
        </w:rPr>
        <w:t xml:space="preserve">, de </w:t>
      </w:r>
      <w:r>
        <w:rPr>
          <w:rFonts w:ascii="Consolas" w:hAnsi="Consolas"/>
        </w:rPr>
        <w:t>#3F5F2E</w:t>
      </w:r>
      <w:r>
        <w:rPr>
          <w:b w:val="0"/>
          <w:i w:val="0"/>
        </w:rPr>
        <w:t xml:space="preserve"> à </w:t>
      </w:r>
      <w:r>
        <w:rPr>
          <w:rFonts w:ascii="Consolas" w:hAnsi="Consolas"/>
        </w:rPr>
        <w:t>#233B18</w:t>
      </w:r>
      <w:r>
        <w:rPr>
          <w:b w:val="0"/>
          <w:i w:val="0"/>
        </w:rPr>
        <w:t>) pour la même</w:t>
      </w:r>
    </w:p>
    <w:p>
      <w:r>
        <w:rPr>
          <w:b w:val="0"/>
          <w:i w:val="0"/>
        </w:rPr>
        <w:t>raison — confirmées présentes dans le code actuel (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>, lignes</w:t>
      </w:r>
    </w:p>
    <w:p>
      <w:r>
        <w:rPr>
          <w:b w:val="0"/>
          <w:i w:val="0"/>
        </w:rPr>
        <w:t>14, 172).</w:t>
      </w:r>
    </w:p>
    <w:p>
      <w:pPr>
        <w:pStyle w:val="Titre3"/>
      </w:pPr>
      <w:r>
        <w:t>Interactions — runbook opérationnel</w:t>
      </w:r>
    </w:p>
    <w:p>
      <w:r>
        <w:rPr>
          <w:b w:val="0"/>
          <w:i w:val="0"/>
        </w:rPr>
        <w:t>Aucun runbook opérationnel (commandes de build, déploiement, variables</w:t>
      </w:r>
    </w:p>
    <w:p>
      <w:r>
        <w:rPr>
          <w:b w:val="0"/>
          <w:i w:val="0"/>
        </w:rPr>
        <w:t>d'environnement à renseigner) n'a été retrouvé dans le dossier de travail.</w:t>
      </w:r>
    </w:p>
    <w:p>
      <w:r>
        <w:rPr>
          <w:b w:val="0"/>
          <w:i w:val="0"/>
        </w:rPr>
        <w:t xml:space="preserve">Le prototype se lance en ouvrant directement </w:t>
      </w:r>
      <w:r>
        <w:rPr>
          <w:rFonts w:ascii="Consolas" w:hAnsi="Consolas"/>
        </w:rPr>
        <w:t>LBP_V2-20.html</w:t>
      </w:r>
      <w:r>
        <w:rPr>
          <w:b w:val="0"/>
          <w:i w:val="0"/>
        </w:rPr>
        <w:t xml:space="preserve"> dans un</w:t>
      </w:r>
    </w:p>
    <w:p>
      <w:r>
        <w:rPr>
          <w:b w:val="0"/>
          <w:i w:val="0"/>
        </w:rPr>
        <w:t>navigateur (aucune commande, aucun serveur requis) — vérifié lors de la</w:t>
      </w:r>
    </w:p>
    <w:p>
      <w:r>
        <w:rPr>
          <w:b w:val="0"/>
          <w:i w:val="0"/>
        </w:rPr>
        <w:t>rédaction de ce cahier. Les variables d'environnement listées au cahier des</w:t>
      </w:r>
    </w:p>
    <w:p>
      <w:r>
        <w:rPr>
          <w:b w:val="0"/>
          <w:i w:val="0"/>
        </w:rPr>
        <w:t>charges [§3.15, p.40-41 — clés Anthropic, Brevo, Supabase, Légifrance/PISTE]</w:t>
      </w:r>
    </w:p>
    <w:p>
      <w:r>
        <w:rPr>
          <w:b w:val="0"/>
          <w:i w:val="0"/>
        </w:rPr>
        <w:t>concernent l'architecture cible, pas le prototype actuel, et **aucun fichier</w:t>
      </w:r>
    </w:p>
    <w:p>
      <w:r>
        <w:rPr>
          <w:rFonts w:ascii="Consolas" w:hAnsi="Consolas"/>
        </w:rPr>
        <w:t>.env.example</w:t>
      </w:r>
      <w:r>
        <w:rPr>
          <w:b w:val="0"/>
          <w:i w:val="0"/>
        </w:rPr>
        <w:t xml:space="preserve"> n'est présent dans le dossier transmis**.</w:t>
      </w:r>
    </w:p>
    <w:p>
      <w:pPr>
        <w:pStyle w:val="Titre3"/>
      </w:pPr>
      <w:r>
        <w:t>Données — dette documentaire</w:t>
      </w:r>
    </w:p>
    <w:p>
      <w:r>
        <w:rPr>
          <w:b w:val="0"/>
          <w:i w:val="0"/>
        </w:rPr>
        <w:t xml:space="preserve">Aucune </w:t>
      </w:r>
      <w:r>
        <w:rPr>
          <w:rFonts w:ascii="Consolas" w:hAnsi="Consolas"/>
        </w:rPr>
        <w:t>SPEC-FRONT-0001</w:t>
      </w:r>
      <w:r>
        <w:rPr>
          <w:b w:val="0"/>
          <w:i w:val="0"/>
        </w:rPr>
        <w:t xml:space="preserve"> (norme G2S Cortex) ne documente exhaustivement le</w:t>
      </w:r>
    </w:p>
    <w:p>
      <w:r>
        <w:rPr>
          <w:b w:val="0"/>
          <w:i w:val="0"/>
        </w:rPr>
        <w:t>design system et les composants du prototype à ce jour — seul ce cahier de</w:t>
      </w:r>
    </w:p>
    <w:p>
      <w:r>
        <w:rPr>
          <w:b w:val="0"/>
          <w:i w:val="0"/>
        </w:rPr>
        <w:t>gouvernance en donne une synthèse (Chapitre 3). C'est un manque à combler</w:t>
      </w:r>
    </w:p>
    <w:p>
      <w:r>
        <w:rPr>
          <w:b w:val="0"/>
          <w:i w:val="0"/>
        </w:rPr>
        <w:t>avant toute transmission à une équipe tierce.</w:t>
      </w:r>
    </w:p>
    <w:p>
      <w:pPr>
        <w:pStyle w:val="Titre3"/>
      </w:pPr>
      <w:r>
        <w:t>Limites et perspectives — checklist de reprise par un tiers/CTO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</w:tcPr>
          <w:p>
            <w:r>
              <w:rPr>
                <w:b/>
              </w:rPr>
              <w:t>Élément nécessaire à une reprise</w:t>
            </w:r>
          </w:p>
        </w:tc>
        <w:tc>
          <w:tcPr>
            <w:tcW w:type="dxa" w:w="4932"/>
          </w:tcPr>
          <w:p>
            <w:r>
              <w:rPr>
                <w:b/>
              </w:rPr>
              <w:t>État</w:t>
            </w:r>
          </w:p>
        </w:tc>
      </w:tr>
      <w:tr>
        <w:tc>
          <w:tcPr>
            <w:tcW w:type="dxa" w:w="4932"/>
          </w:tcPr>
          <w:p>
            <w:r>
              <w:t>Documentation technique exhaustive du frontend (SPEC-FRONT-0001)</w:t>
            </w:r>
          </w:p>
        </w:tc>
        <w:tc>
          <w:tcPr>
            <w:tcW w:type="dxa" w:w="4932"/>
          </w:tcPr>
          <w:p>
            <w:r>
              <w:t>❌ Absente</w:t>
            </w:r>
          </w:p>
        </w:tc>
      </w:tr>
      <w:tr>
        <w:tc>
          <w:tcPr>
            <w:tcW w:type="dxa" w:w="4932"/>
          </w:tcPr>
          <w:p>
            <w:r>
              <w:t>Code de back-office / base de données</w:t>
            </w:r>
          </w:p>
        </w:tc>
        <w:tc>
          <w:tcPr>
            <w:tcW w:type="dxa" w:w="4932"/>
          </w:tcPr>
          <w:p>
            <w:r>
              <w:t>❌ Absent</w:t>
            </w:r>
          </w:p>
        </w:tc>
      </w:tr>
      <w:tr>
        <w:tc>
          <w:tcPr>
            <w:tcW w:type="dxa" w:w="4932"/>
          </w:tcPr>
          <w:p>
            <w:r>
              <w:t>Tests automatisés</w:t>
            </w:r>
          </w:p>
        </w:tc>
        <w:tc>
          <w:tcPr>
            <w:tcW w:type="dxa" w:w="4932"/>
          </w:tcPr>
          <w:p>
            <w:r>
              <w:t>❌ Absents (confirmé, point 6.13)</w:t>
            </w:r>
          </w:p>
        </w:tc>
      </w:tr>
      <w:tr>
        <w:tc>
          <w:tcPr>
            <w:tcW w:type="dxa" w:w="4932"/>
          </w:tcPr>
          <w:p>
            <w:r>
              <w:t>Journalisation / supervision</w:t>
            </w:r>
          </w:p>
        </w:tc>
        <w:tc>
          <w:tcPr>
            <w:tcW w:type="dxa" w:w="4932"/>
          </w:tcPr>
          <w:p>
            <w:r>
              <w:t>❌ Absentes (confirmé, point 6.13)</w:t>
            </w:r>
          </w:p>
        </w:tc>
      </w:tr>
      <w:tr>
        <w:tc>
          <w:tcPr>
            <w:tcW w:type="dxa" w:w="4932"/>
          </w:tcPr>
          <w:p>
            <w:r>
              <w:t>Runbook de déploiement</w:t>
            </w:r>
          </w:p>
        </w:tc>
        <w:tc>
          <w:tcPr>
            <w:tcW w:type="dxa" w:w="4932"/>
          </w:tcPr>
          <w:p>
            <w:r>
              <w:t>❌ Absent</w:t>
            </w:r>
          </w:p>
        </w:tc>
      </w:tr>
      <w:tr>
        <w:tc>
          <w:tcPr>
            <w:tcW w:type="dxa" w:w="4932"/>
          </w:tcPr>
          <w:p>
            <w:r>
              <w:t>Registre des risques à jour</w:t>
            </w:r>
          </w:p>
        </w:tc>
        <w:tc>
          <w:tcPr>
            <w:tcW w:type="dxa" w:w="4932"/>
          </w:tcPr>
          <w:p>
            <w:r>
              <w:t>🟡 Ce chapitre en tient lieu provisoirement</w:t>
            </w:r>
          </w:p>
        </w:tc>
      </w:tr>
      <w:tr>
        <w:tc>
          <w:tcPr>
            <w:tcW w:type="dxa" w:w="4932"/>
          </w:tcPr>
          <w:p>
            <w:r>
              <w:t>Propriété intellectuelle des briques développées</w:t>
            </w:r>
          </w:p>
        </w:tc>
        <w:tc>
          <w:tcPr>
            <w:tcW w:type="dxa" w:w="4932"/>
          </w:tcPr>
          <w:p>
            <w:r>
              <w:t>❌ Aucune clause retrouvée dans le dossier — **point bloquant avant toute transmission externe**, à faire trancher par la direction technique et le référent juridique</w:t>
            </w:r>
          </w:p>
        </w:tc>
      </w:tr>
    </w:tbl>
    <w:p/>
    <w:p>
      <w:r>
        <w:rPr>
          <w:b/>
        </w:rPr>
        <w:t>[À COMPLÉTER — direction technique / porteur produit]</w:t>
      </w:r>
      <w:r>
        <w:rPr>
          <w:b w:val="0"/>
          <w:i w:val="0"/>
        </w:rPr>
        <w:t xml:space="preserve"> : validation de la</w:t>
      </w:r>
    </w:p>
    <w:p>
      <w:r>
        <w:rPr>
          <w:b w:val="0"/>
          <w:i w:val="0"/>
        </w:rPr>
        <w:t>priorisation des 17 points, décision sur la clause de propriété</w:t>
      </w:r>
    </w:p>
    <w:p>
      <w:r>
        <w:rPr>
          <w:b w:val="0"/>
          <w:i w:val="0"/>
        </w:rPr>
        <w:t>intellectuelle avant toute transmission à un tiers.</w:t>
      </w:r>
    </w:p>
    <w:p>
      <w:pPr>
        <w:pStyle w:val="Titre3"/>
      </w:pPr>
      <w:r>
        <w:t>Preuves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ID</w:t>
            </w:r>
          </w:p>
        </w:tc>
        <w:tc>
          <w:tcPr>
            <w:tcW w:type="dxa" w:w="3288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3288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3288"/>
          </w:tcPr>
          <w:p>
            <w:r>
              <w:t>PR-C6-01</w:t>
            </w:r>
          </w:p>
        </w:tc>
        <w:tc>
          <w:tcPr>
            <w:tcW w:type="dxa" w:w="3288"/>
          </w:tcPr>
          <w:p>
            <w:r>
              <w:t>17 points de risques déclarés</w:t>
            </w:r>
          </w:p>
        </w:tc>
        <w:tc>
          <w:tcPr>
            <w:tcW w:type="dxa" w:w="3288"/>
          </w:tcPr>
          <w:p>
            <w:r>
              <w:t>Cahier des charges §6, p.33-36</w:t>
            </w:r>
          </w:p>
        </w:tc>
      </w:tr>
      <w:tr>
        <w:tc>
          <w:tcPr>
            <w:tcW w:type="dxa" w:w="3288"/>
          </w:tcPr>
          <w:p>
            <w:r>
              <w:t>PR-C6-02</w:t>
            </w:r>
          </w:p>
        </w:tc>
        <w:tc>
          <w:tcPr>
            <w:tcW w:type="dxa" w:w="3288"/>
          </w:tcPr>
          <w:p>
            <w:r>
              <w:t>Rapport de vérification des constats de terrain</w:t>
            </w:r>
          </w:p>
        </w:tc>
        <w:tc>
          <w:tcPr>
            <w:tcW w:type="dxa" w:w="3288"/>
          </w:tcPr>
          <w:p>
            <w:r>
              <w:t>`RAPPORT_VERIFICATION_CONSTATS_TERRAIN.md`, 9 septembre 2026</w:t>
            </w:r>
          </w:p>
        </w:tc>
      </w:tr>
      <w:tr>
        <w:tc>
          <w:tcPr>
            <w:tcW w:type="dxa" w:w="3288"/>
          </w:tcPr>
          <w:p>
            <w:r>
              <w:t>PR-C6-03</w:t>
            </w:r>
          </w:p>
        </w:tc>
        <w:tc>
          <w:tcPr>
            <w:tcW w:type="dxa" w:w="3288"/>
          </w:tcPr>
          <w:p>
            <w:r>
              <w:t>Correction confirmée du bug de publication de fiche</w:t>
            </w:r>
          </w:p>
        </w:tc>
        <w:tc>
          <w:tcPr>
            <w:tcW w:type="dxa" w:w="3288"/>
          </w:tcPr>
          <w:p>
            <w:r>
              <w:t>`LBP_V2-20.html`, ligne 2754</w:t>
            </w:r>
          </w:p>
        </w:tc>
      </w:tr>
      <w:tr>
        <w:tc>
          <w:tcPr>
            <w:tcW w:type="dxa" w:w="3288"/>
          </w:tcPr>
          <w:p>
            <w:r>
              <w:t>PR-C6-04</w:t>
            </w:r>
          </w:p>
        </w:tc>
        <w:tc>
          <w:tcPr>
            <w:tcW w:type="dxa" w:w="3288"/>
          </w:tcPr>
          <w:p>
            <w:r>
              <w:t>Bug de verrouillage par offre toujours présent</w:t>
            </w:r>
          </w:p>
        </w:tc>
        <w:tc>
          <w:tcPr>
            <w:tcW w:type="dxa" w:w="3288"/>
          </w:tcPr>
          <w:p>
            <w:r>
              <w:t>`LBP_V2-20.html`, lignes 2478-2483</w:t>
            </w:r>
          </w:p>
        </w:tc>
      </w:tr>
      <w:tr>
        <w:tc>
          <w:tcPr>
            <w:tcW w:type="dxa" w:w="3288"/>
          </w:tcPr>
          <w:p>
            <w:r>
              <w:t>PR-C6-05</w:t>
            </w:r>
          </w:p>
        </w:tc>
        <w:tc>
          <w:tcPr>
            <w:tcW w:type="dxa" w:w="3288"/>
          </w:tcPr>
          <w:p>
            <w:r>
              <w:t>Confirmation ajoutée au changement d'offre (partielle)</w:t>
            </w:r>
          </w:p>
        </w:tc>
        <w:tc>
          <w:tcPr>
            <w:tcW w:type="dxa" w:w="3288"/>
          </w:tcPr>
          <w:p>
            <w:r>
              <w:t>`LBP_V2-20.html`, lignes 1309-1312</w:t>
            </w:r>
          </w:p>
        </w:tc>
      </w:tr>
      <w:tr>
        <w:tc>
          <w:tcPr>
            <w:tcW w:type="dxa" w:w="3288"/>
          </w:tcPr>
          <w:p>
            <w:r>
              <w:t>PR-C6-06</w:t>
            </w:r>
          </w:p>
        </w:tc>
        <w:tc>
          <w:tcPr>
            <w:tcW w:type="dxa" w:w="3288"/>
          </w:tcPr>
          <w:p>
            <w:r>
              <w:t>Corrections d'accessibilité WCAG appliquées</w:t>
            </w:r>
          </w:p>
        </w:tc>
        <w:tc>
          <w:tcPr>
            <w:tcW w:type="dxa" w:w="3288"/>
          </w:tcPr>
          <w:p>
            <w:r>
              <w:t>`MODIFICATIONS_LBP_V2-20.md` ; `LBP_V2-20.html`, lignes 14, 172</w:t>
            </w:r>
          </w:p>
        </w:tc>
      </w:tr>
      <w:tr>
        <w:tc>
          <w:tcPr>
            <w:tcW w:type="dxa" w:w="3288"/>
          </w:tcPr>
          <w:p>
            <w:r>
              <w:t>PR-C6-07</w:t>
            </w:r>
          </w:p>
        </w:tc>
        <w:tc>
          <w:tcPr>
            <w:tcW w:type="dxa" w:w="3288"/>
          </w:tcPr>
          <w:p>
            <w:r>
              <w:t>Absence de runbook et de variables d'environnement dans le dossier</w:t>
            </w:r>
          </w:p>
        </w:tc>
        <w:tc>
          <w:tcPr>
            <w:tcW w:type="dxa" w:w="3288"/>
          </w:tcPr>
          <w:p>
            <w:r>
              <w:t>Constat direct sur le répertoire `projet-lbp/`</w:t>
            </w:r>
          </w:p>
        </w:tc>
      </w:tr>
      <w:tr>
        <w:tc>
          <w:tcPr>
            <w:tcW w:type="dxa" w:w="3288"/>
          </w:tcPr>
          <w:p>
            <w:r>
              <w:t>PR-C6-08</w:t>
            </w:r>
          </w:p>
        </w:tc>
        <w:tc>
          <w:tcPr>
            <w:tcW w:type="dxa" w:w="3288"/>
          </w:tcPr>
          <w:p>
            <w:r>
              <w:t>Absence de SPEC-FRONT-0001</w:t>
            </w:r>
          </w:p>
        </w:tc>
        <w:tc>
          <w:tcPr>
            <w:tcW w:type="dxa" w:w="3288"/>
          </w:tcPr>
          <w:p>
            <w:r>
              <w:t>Constat direct — aucun fichier de ce nom dans le dossier</w:t>
            </w:r>
          </w:p>
        </w:tc>
      </w:tr>
    </w:tbl>
    <w:p/>
    <w:p>
      <w:pPr>
        <w:pStyle w:val="Titre2"/>
      </w:pPr>
      <w:r>
        <w:t>Chapitre 7 — Roadmap et évolution</w:t>
      </w:r>
    </w:p>
    <w:p>
      <w:r>
        <w:rPr>
          <w:b/>
        </w:rPr>
        <w:t>Pilotes :</w:t>
      </w:r>
      <w:r>
        <w:rPr>
          <w:b w:val="0"/>
          <w:i w:val="0"/>
        </w:rPr>
        <w:t xml:space="preserve"> direction technique (Almamy CAMARA) + porteur produit (Pauline</w:t>
      </w:r>
    </w:p>
    <w:p>
      <w:r>
        <w:rPr>
          <w:b w:val="0"/>
          <w:i w:val="0"/>
        </w:rPr>
        <w:t>LETOURNEUR).</w:t>
      </w:r>
    </w:p>
    <w:p>
      <w:pPr>
        <w:pStyle w:val="Titre3"/>
      </w:pPr>
      <w:r>
        <w:t>Introduction</w:t>
      </w:r>
    </w:p>
    <w:p>
      <w:r>
        <w:rPr>
          <w:b w:val="0"/>
          <w:i w:val="0"/>
        </w:rPr>
        <w:t>Ce chapitre reprend la feuille de route **telle qu'annoncée par les</w:t>
      </w:r>
    </w:p>
    <w:p>
      <w:r>
        <w:rPr>
          <w:b w:val="0"/>
          <w:i w:val="0"/>
        </w:rPr>
        <w:t>sources**, sans en inventer une nouvelle, et signale les écarts constatés</w:t>
      </w:r>
    </w:p>
    <w:p>
      <w:r>
        <w:rPr>
          <w:b w:val="0"/>
          <w:i w:val="0"/>
        </w:rPr>
        <w:t>entre ce planning et l'état réel du projet à la date de cette amorce</w:t>
      </w:r>
    </w:p>
    <w:p>
      <w:r>
        <w:rPr>
          <w:b w:val="0"/>
          <w:i w:val="0"/>
        </w:rPr>
        <w:t>(2026-09-16).</w:t>
      </w:r>
    </w:p>
    <w:p>
      <w:pPr>
        <w:pStyle w:val="Titre3"/>
      </w:pPr>
      <w:r>
        <w:t>Architecture — feuille de route annoncée</w:t>
      </w:r>
    </w:p>
    <w:p>
      <w:r>
        <w:rPr>
          <w:b/>
        </w:rPr>
        <w:t>Planning issu du compte-rendu du 04/08/2026</w:t>
      </w:r>
      <w:r>
        <w:rPr>
          <w:b w:val="0"/>
          <w:i w:val="0"/>
        </w:rPr>
        <w:t xml:space="preserve"> [p.9] :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32"/>
          </w:tcPr>
          <w:p>
            <w:r>
              <w:rPr>
                <w:b/>
              </w:rPr>
              <w:t>Étape</w:t>
            </w:r>
          </w:p>
        </w:tc>
      </w:tr>
      <w:tr>
        <w:tc>
          <w:tcPr>
            <w:tcW w:type="dxa" w:w="4932"/>
          </w:tcPr>
          <w:p>
            <w:r>
              <w:t>10/08/2026</w:t>
            </w:r>
          </w:p>
        </w:tc>
        <w:tc>
          <w:tcPr>
            <w:tcW w:type="dxa" w:w="4932"/>
          </w:tcPr>
          <w:p>
            <w:r>
              <w:t>Présentation stratégique devant Nicolas SECK</w:t>
            </w:r>
          </w:p>
        </w:tc>
      </w:tr>
      <w:tr>
        <w:tc>
          <w:tcPr>
            <w:tcW w:type="dxa" w:w="4932"/>
          </w:tcPr>
          <w:p>
            <w:r>
              <w:t>01/09/2026</w:t>
            </w:r>
          </w:p>
        </w:tc>
        <w:tc>
          <w:tcPr>
            <w:tcW w:type="dxa" w:w="4932"/>
          </w:tcPr>
          <w:p>
            <w:r>
              <w:t>Atelier brainstorming logique métier &amp; pages avec Pauline</w:t>
            </w:r>
          </w:p>
        </w:tc>
      </w:tr>
      <w:tr>
        <w:tc>
          <w:tcPr>
            <w:tcW w:type="dxa" w:w="4932"/>
          </w:tcPr>
          <w:p>
            <w:r>
              <w:t>Septembre 2026</w:t>
            </w:r>
          </w:p>
        </w:tc>
        <w:tc>
          <w:tcPr>
            <w:tcW w:type="dxa" w:w="4932"/>
          </w:tcPr>
          <w:p>
            <w:r>
              <w:t>Cadrage MoSCoW — arbitrage Must/Should/Could/Won't</w:t>
            </w:r>
          </w:p>
        </w:tc>
      </w:tr>
      <w:tr>
        <w:tc>
          <w:tcPr>
            <w:tcW w:type="dxa" w:w="4932"/>
          </w:tcPr>
          <w:p>
            <w:r>
              <w:t>20/10/2026</w:t>
            </w:r>
          </w:p>
        </w:tc>
        <w:tc>
          <w:tcPr>
            <w:tcW w:type="dxa" w:w="4932"/>
          </w:tcPr>
          <w:p>
            <w:r>
              <w:t>Livraison de la plateforme — recette finale et mise en ligne</w:t>
            </w:r>
          </w:p>
        </w:tc>
      </w:tr>
    </w:tbl>
    <w:p/>
    <w:p>
      <w:r>
        <w:rPr>
          <w:b/>
        </w:rPr>
        <w:t>Roadmap de construction proposée par le cahier des charges</w:t>
      </w:r>
      <w:r>
        <w:rPr>
          <w:b w:val="0"/>
          <w:i w:val="0"/>
        </w:rPr>
        <w:t xml:space="preserve"> [§7, p.37] —</w:t>
      </w:r>
    </w:p>
    <w:p>
      <w:r>
        <w:rPr>
          <w:b w:val="0"/>
          <w:i w:val="0"/>
        </w:rPr>
        <w:t>6 phases : (1) Socle (base de données, authentification, rôles) ; (2) Front</w:t>
      </w:r>
    </w:p>
    <w:p>
      <w:r>
        <w:rPr>
          <w:b w:val="0"/>
          <w:i w:val="0"/>
        </w:rPr>
        <w:t>web (portage des pages avec le design system et le mécanisme de publication) ;</w:t>
      </w:r>
    </w:p>
    <w:p>
      <w:r>
        <w:rPr>
          <w:b w:val="0"/>
          <w:i w:val="0"/>
        </w:rPr>
        <w:t>(3) Application mobile ; (4) Automatisations (veille 10h30, notifications,</w:t>
      </w:r>
    </w:p>
    <w:p>
      <w:r>
        <w:rPr>
          <w:b w:val="0"/>
          <w:i w:val="0"/>
        </w:rPr>
        <w:t>import Word serveur) ; (5) Finalisations ; (6) Recette et mise en production.</w:t>
      </w:r>
    </w:p>
    <w:p>
      <w:r>
        <w:rPr>
          <w:b w:val="0"/>
          <w:i w:val="0"/>
        </w:rPr>
        <w:t>*Fidélité à la source : le document original contient, dans la description</w:t>
      </w:r>
    </w:p>
    <w:p>
      <w:r>
        <w:rPr>
          <w:b w:val="0"/>
          <w:i w:val="0"/>
        </w:rPr>
        <w:t>de la Phase 5, des renvois internes (« §5.1 », « §5.5 », « §5.6 ») qui</w:t>
      </w:r>
    </w:p>
    <w:p>
      <w:r>
        <w:rPr>
          <w:b w:val="0"/>
          <w:i w:val="0"/>
        </w:rPr>
        <w:t>semblent être des coquilles de numérotation — reproduits tels quels par</w:t>
      </w:r>
    </w:p>
    <w:p>
      <w:r>
        <w:rPr>
          <w:b w:val="0"/>
          <w:i w:val="0"/>
        </w:rPr>
        <w:t>transparence, à faire clarifier par leurs auteurs plutôt que réinterprétés</w:t>
      </w:r>
    </w:p>
    <w:p>
      <w:r>
        <w:rPr>
          <w:b w:val="0"/>
          <w:i w:val="0"/>
        </w:rPr>
        <w:t>par nous.*</w:t>
      </w:r>
    </w:p>
    <w:p>
      <w:pPr>
        <w:pStyle w:val="Titre3"/>
      </w:pPr>
      <w:r>
        <w:t>Fonctionnement — écart entre planning et état réel constaté</w:t>
      </w:r>
    </w:p>
    <w:p>
      <w:r>
        <w:rPr>
          <w:b w:val="0"/>
          <w:i w:val="0"/>
        </w:rPr>
        <w:t>À la date de cette amorce (2026-09-16), soit **plus de deux semaines après</w:t>
      </w:r>
    </w:p>
    <w:p>
      <w:r>
        <w:rPr>
          <w:b w:val="0"/>
          <w:i w:val="0"/>
        </w:rPr>
        <w:t>l'échéance « Septembre 2026 »** annoncée pour l'arbitrage MoSCoW :</w:t>
      </w:r>
    </w:p>
    <w:p>
      <w:pPr>
        <w:pStyle w:val="Listepuces"/>
      </w:pPr>
      <w:r>
        <w:t>l'outil de priorisation existe (</w:t>
      </w:r>
      <w:r>
        <w:rPr>
          <w:rFonts w:ascii="Consolas" w:hAnsi="Consolas"/>
        </w:rPr>
        <w:t>moscow-lbp.html</w:t>
      </w:r>
      <w:r>
        <w:t>) mais **les 51</w:t>
      </w:r>
    </w:p>
    <w:p>
      <w:r>
        <w:rPr>
          <w:b w:val="0"/>
          <w:i w:val="0"/>
        </w:rPr>
        <w:t xml:space="preserve">  fonctionnalités qu'il recense sont toutes encore à l'état « backlog »**</w:t>
      </w:r>
    </w:p>
    <w:p>
      <w:r>
        <w:rPr>
          <w:b w:val="0"/>
          <w:i w:val="0"/>
        </w:rPr>
        <w:t xml:space="preserve">  (aucune classée Must/Should/Could/Won't) — voir Chapitres 1 et 2 ;</w:t>
      </w:r>
    </w:p>
    <w:p>
      <w:pPr>
        <w:pStyle w:val="Listepuces"/>
      </w:pPr>
      <w:r>
        <w:rPr>
          <w:b/>
        </w:rPr>
        <w:t>aucun code de back-office, base de données ou authentification</w:t>
      </w:r>
      <w:r>
        <w:t xml:space="preserve"> n'a été</w:t>
      </w:r>
    </w:p>
    <w:p>
      <w:r>
        <w:rPr>
          <w:b w:val="0"/>
          <w:i w:val="0"/>
        </w:rPr>
        <w:t xml:space="preserve">  retrouvé dans le dossier de travail, alors que la Phase 1 (« Socle ») de la</w:t>
      </w:r>
    </w:p>
    <w:p>
      <w:r>
        <w:rPr>
          <w:b w:val="0"/>
          <w:i w:val="0"/>
        </w:rPr>
        <w:t xml:space="preserve">  roadmap proposée les place en tout premier ;</w:t>
      </w:r>
    </w:p>
    <w:p>
      <w:pPr>
        <w:pStyle w:val="Listepuces"/>
      </w:pPr>
      <w:r>
        <w:t xml:space="preserve">la livraison finale reste annoncée au </w:t>
      </w:r>
      <w:r>
        <w:rPr>
          <w:b/>
        </w:rPr>
        <w:t>20/10/2026</w:t>
      </w:r>
      <w:r>
        <w:t>, soit dans un peu</w:t>
      </w:r>
    </w:p>
    <w:p>
      <w:r>
        <w:rPr>
          <w:b w:val="0"/>
          <w:i w:val="0"/>
        </w:rPr>
        <w:t xml:space="preserve">  plus d'un mois à la date de cette amorce.</w:t>
      </w:r>
    </w:p>
    <w:p>
      <w:r>
        <w:rPr>
          <w:b w:val="0"/>
          <w:i w:val="0"/>
        </w:rPr>
        <w:t xml:space="preserve">Ce chapitre se borne à </w:t>
      </w:r>
      <w:r>
        <w:rPr>
          <w:b/>
        </w:rPr>
        <w:t>constater cet écart</w:t>
      </w:r>
      <w:r>
        <w:rPr>
          <w:b w:val="0"/>
          <w:i w:val="0"/>
        </w:rPr>
        <w:t xml:space="preserve"> entre planning et état réel,</w:t>
      </w:r>
    </w:p>
    <w:p>
      <w:r>
        <w:rPr>
          <w:b w:val="0"/>
          <w:i w:val="0"/>
        </w:rPr>
        <w:t>conformément à la norme ; il n'appartient pas à cette amorce automatisée de</w:t>
      </w:r>
    </w:p>
    <w:p>
      <w:r>
        <w:rPr>
          <w:b w:val="0"/>
          <w:i w:val="0"/>
        </w:rPr>
        <w:t>requalifier le planning ou d'évaluer sa tenabilité — c'est un arbitrage pour</w:t>
      </w:r>
    </w:p>
    <w:p>
      <w:r>
        <w:rPr>
          <w:b w:val="0"/>
          <w:i w:val="0"/>
        </w:rPr>
        <w:t>la direction technique et le porteur produit.</w:t>
      </w:r>
    </w:p>
    <w:p>
      <w:pPr>
        <w:pStyle w:val="Titre3"/>
      </w:pPr>
      <w:r>
        <w:t>Interactions — dette résiduelle priorisée (proposition à valider)</w:t>
      </w:r>
    </w:p>
    <w:p>
      <w:r>
        <w:rPr>
          <w:b w:val="0"/>
          <w:i w:val="0"/>
        </w:rPr>
        <w:t>Sur la base des 17 points du Chapitre 6, une priorisation indicative (à</w:t>
      </w:r>
    </w:p>
    <w:p>
      <w:r>
        <w:rPr>
          <w:b w:val="0"/>
          <w:i w:val="0"/>
        </w:rPr>
        <w:t>valider par ses pilotes, pas une décision arrêtée) :</w:t>
      </w:r>
    </w:p>
    <w:p>
      <w:pPr>
        <w:pStyle w:val="Listepuces"/>
      </w:pPr>
      <w:r>
        <w:rPr>
          <w:b/>
        </w:rPr>
        <w:t>Bloquants avant toute mise en production</w:t>
      </w:r>
      <w:r>
        <w:t xml:space="preserve"> : persistance des données</w:t>
      </w:r>
    </w:p>
    <w:p>
      <w:r>
        <w:rPr>
          <w:b w:val="0"/>
          <w:i w:val="0"/>
        </w:rPr>
        <w:t xml:space="preserve">   (6.2), authentification réelle (6.5), cloisonnement multi-sociétés</w:t>
      </w:r>
    </w:p>
    <w:p>
      <w:r>
        <w:rPr>
          <w:b w:val="0"/>
          <w:i w:val="0"/>
        </w:rPr>
        <w:t xml:space="preserve">   (6.15).</w:t>
      </w:r>
    </w:p>
    <w:p>
      <w:pPr>
        <w:pStyle w:val="Listepuces"/>
      </w:pPr>
      <w:r>
        <w:rPr>
          <w:b/>
        </w:rPr>
        <w:t>Nécessaires à l'automatisation promise au client</w:t>
      </w:r>
      <w:r>
        <w:t xml:space="preserve"> : veille quotidienne</w:t>
      </w:r>
    </w:p>
    <w:p>
      <w:r>
        <w:rPr>
          <w:b w:val="0"/>
          <w:i w:val="0"/>
        </w:rPr>
        <w:t xml:space="preserve">   (6.3), envoi e-mail/SMS (6.4).</w:t>
      </w:r>
    </w:p>
    <w:p>
      <w:pPr>
        <w:pStyle w:val="Listepuces"/>
      </w:pPr>
      <w:r>
        <w:rPr>
          <w:b/>
        </w:rPr>
        <w:t>Nécessaires à la qualité et à la transmissibilité</w:t>
      </w:r>
      <w:r>
        <w:t xml:space="preserve"> : tests/</w:t>
      </w:r>
    </w:p>
    <w:p>
      <w:r>
        <w:rPr>
          <w:b w:val="0"/>
          <w:i w:val="0"/>
        </w:rPr>
        <w:t xml:space="preserve">   journalisation/supervision (6.13), documentation SPEC-FRONT-0001</w:t>
      </w:r>
    </w:p>
    <w:p>
      <w:r>
        <w:rPr>
          <w:b w:val="0"/>
          <w:i w:val="0"/>
        </w:rPr>
        <w:t xml:space="preserve">   manquante (Chapitre 6).</w:t>
      </w:r>
    </w:p>
    <w:p>
      <w:pPr>
        <w:pStyle w:val="Listepuces"/>
      </w:pPr>
      <w:r>
        <w:rPr>
          <w:b/>
        </w:rPr>
        <w:t>Améliorations produit</w:t>
      </w:r>
      <w:r>
        <w:t xml:space="preserve"> : gestion documentaire réelle (6.11), import</w:t>
      </w:r>
    </w:p>
    <w:p>
      <w:r>
        <w:rPr>
          <w:b w:val="0"/>
          <w:i w:val="0"/>
        </w:rPr>
        <w:t xml:space="preserve">   Word robuste côté serveur (6.6), recherche unifiée (6.8), notifications</w:t>
      </w:r>
    </w:p>
    <w:p>
      <w:r>
        <w:rPr>
          <w:b w:val="0"/>
          <w:i w:val="0"/>
        </w:rPr>
        <w:t xml:space="preserve">   push mobiles (6.7).</w:t>
      </w:r>
    </w:p>
    <w:p>
      <w:pPr>
        <w:pStyle w:val="Titre3"/>
      </w:pPr>
      <w:r>
        <w:t>Données — actions prioritaires non mobilisables en l'état</w:t>
      </w:r>
    </w:p>
    <w:p>
      <w:pPr>
        <w:pStyle w:val="Listepuces"/>
      </w:pPr>
      <w:r>
        <w:t>Le contenu des annexes de code du cahier des charges (veille automatisée,</w:t>
      </w:r>
    </w:p>
    <w:p>
      <w:r>
        <w:rPr>
          <w:b w:val="0"/>
          <w:i w:val="0"/>
        </w:rPr>
        <w:t xml:space="preserve">  authentification, §5.1-5.7) est </w:t>
      </w:r>
      <w:r>
        <w:rPr>
          <w:b/>
        </w:rPr>
        <w:t>spécifié mais physiquement absent</w:t>
      </w:r>
      <w:r>
        <w:rPr>
          <w:b w:val="0"/>
          <w:i w:val="0"/>
        </w:rPr>
        <w:t xml:space="preserve"> du</w:t>
      </w:r>
    </w:p>
    <w:p>
      <w:r>
        <w:rPr>
          <w:b w:val="0"/>
          <w:i w:val="0"/>
        </w:rPr>
        <w:t xml:space="preserve">  dossier transmis : leur récupération ou leur re-génération est un</w:t>
      </w:r>
    </w:p>
    <w:p>
      <w:r>
        <w:rPr>
          <w:b w:val="0"/>
          <w:i w:val="0"/>
        </w:rPr>
        <w:t xml:space="preserve">  préalable à la Phase 1 et à la Phase 4 de la roadmap.</w:t>
      </w:r>
    </w:p>
    <w:p>
      <w:pPr>
        <w:pStyle w:val="Listepuces"/>
      </w:pPr>
      <w:r>
        <w:t>L'arbitrage MoSCoW ne peut être exploité pour prioriser un développement</w:t>
      </w:r>
    </w:p>
    <w:p>
      <w:r>
        <w:rPr>
          <w:b w:val="0"/>
          <w:i w:val="0"/>
        </w:rPr>
        <w:t xml:space="preserve">  tant qu'il n'a pas été exécuté (Chapitre 1/2).</w:t>
      </w:r>
    </w:p>
    <w:p>
      <w:pPr>
        <w:pStyle w:val="Titre3"/>
      </w:pPr>
      <w:r>
        <w:t>Limites et perspectives</w:t>
      </w:r>
    </w:p>
    <w:p>
      <w:r>
        <w:rPr>
          <w:b/>
        </w:rPr>
        <w:t>[À COMPLÉTER — direction technique / porteur produit]</w:t>
      </w:r>
      <w:r>
        <w:rPr>
          <w:b w:val="0"/>
          <w:i w:val="0"/>
        </w:rPr>
        <w:t xml:space="preserve"> :</w:t>
      </w:r>
    </w:p>
    <w:p>
      <w:pPr>
        <w:pStyle w:val="Listepuces"/>
      </w:pPr>
      <w:r>
        <w:t>Confirmer si l'échéance du 20/10/2026 est maintenue compte tenu de l'écart</w:t>
      </w:r>
    </w:p>
    <w:p>
      <w:r>
        <w:rPr>
          <w:b w:val="0"/>
          <w:i w:val="0"/>
        </w:rPr>
        <w:t xml:space="preserve">  constaté ci-dessus.</w:t>
      </w:r>
    </w:p>
    <w:p>
      <w:pPr>
        <w:pStyle w:val="Listepuces"/>
      </w:pPr>
      <w:r>
        <w:t xml:space="preserve">Exécuter l'arbitrage MoSCoW dans </w:t>
      </w:r>
      <w:r>
        <w:rPr>
          <w:rFonts w:ascii="Consolas" w:hAnsi="Consolas"/>
        </w:rPr>
        <w:t>moscow-lbp.html</w:t>
      </w:r>
      <w:r>
        <w:t xml:space="preserve"> et reporter son résultat</w:t>
      </w:r>
    </w:p>
    <w:p>
      <w:r>
        <w:rPr>
          <w:b w:val="0"/>
          <w:i w:val="0"/>
        </w:rPr>
        <w:t xml:space="preserve">  dans une révision de ce cahier (Chapitres 1, 2 et 7).</w:t>
      </w:r>
    </w:p>
    <w:p>
      <w:pPr>
        <w:pStyle w:val="Listepuces"/>
      </w:pPr>
      <w:r>
        <w:t xml:space="preserve">Décider si une </w:t>
      </w:r>
      <w:r>
        <w:rPr>
          <w:rFonts w:ascii="Consolas" w:hAnsi="Consolas"/>
        </w:rPr>
        <w:t>SPEC-FRONT-0001</w:t>
      </w:r>
      <w:r>
        <w:t xml:space="preserve"> doit être produite avant la Phase 2</w:t>
      </w:r>
    </w:p>
    <w:p>
      <w:r>
        <w:rPr>
          <w:b w:val="0"/>
          <w:i w:val="0"/>
        </w:rPr>
        <w:t xml:space="preserve">  (Front web) de la roadmap, pour ne pas reconstruire le design system sans</w:t>
      </w:r>
    </w:p>
    <w:p>
      <w:r>
        <w:rPr>
          <w:b w:val="0"/>
          <w:i w:val="0"/>
        </w:rPr>
        <w:t xml:space="preserve">  documentation de référence.</w:t>
      </w:r>
    </w:p>
    <w:p>
      <w:pPr>
        <w:pStyle w:val="Titre3"/>
      </w:pPr>
      <w:r>
        <w:t>Preuves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r>
              <w:rPr>
                <w:b/>
              </w:rPr>
              <w:t>ID</w:t>
            </w:r>
          </w:p>
        </w:tc>
        <w:tc>
          <w:tcPr>
            <w:tcW w:type="dxa" w:w="3288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3288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3288"/>
          </w:tcPr>
          <w:p>
            <w:r>
              <w:t>PR-C7-01</w:t>
            </w:r>
          </w:p>
        </w:tc>
        <w:tc>
          <w:tcPr>
            <w:tcW w:type="dxa" w:w="3288"/>
          </w:tcPr>
          <w:p>
            <w:r>
              <w:t>Feuille de route et échéances</w:t>
            </w:r>
          </w:p>
        </w:tc>
        <w:tc>
          <w:tcPr>
            <w:tcW w:type="dxa" w:w="3288"/>
          </w:tcPr>
          <w:p>
            <w:r>
              <w:t>Compte-rendu, p.9</w:t>
            </w:r>
          </w:p>
        </w:tc>
      </w:tr>
      <w:tr>
        <w:tc>
          <w:tcPr>
            <w:tcW w:type="dxa" w:w="3288"/>
          </w:tcPr>
          <w:p>
            <w:r>
              <w:t>PR-C7-02</w:t>
            </w:r>
          </w:p>
        </w:tc>
        <w:tc>
          <w:tcPr>
            <w:tcW w:type="dxa" w:w="3288"/>
          </w:tcPr>
          <w:p>
            <w:r>
              <w:t>Roadmap de construction en 6 phases</w:t>
            </w:r>
          </w:p>
        </w:tc>
        <w:tc>
          <w:tcPr>
            <w:tcW w:type="dxa" w:w="3288"/>
          </w:tcPr>
          <w:p>
            <w:r>
              <w:t>Cahier des charges §7, p.37</w:t>
            </w:r>
          </w:p>
        </w:tc>
      </w:tr>
      <w:tr>
        <w:tc>
          <w:tcPr>
            <w:tcW w:type="dxa" w:w="3288"/>
          </w:tcPr>
          <w:p>
            <w:r>
              <w:t>PR-C7-03</w:t>
            </w:r>
          </w:p>
        </w:tc>
        <w:tc>
          <w:tcPr>
            <w:tcW w:type="dxa" w:w="3288"/>
          </w:tcPr>
          <w:p>
            <w:r>
              <w:t>Arbitrage MoSCoW non exécuté à la date de cette amorce</w:t>
            </w:r>
          </w:p>
        </w:tc>
        <w:tc>
          <w:tcPr>
            <w:tcW w:type="dxa" w:w="3288"/>
          </w:tcPr>
          <w:p>
            <w:r>
              <w:t>`moscow-lbp.html`, lignes 196-259</w:t>
            </w:r>
          </w:p>
        </w:tc>
      </w:tr>
      <w:tr>
        <w:tc>
          <w:tcPr>
            <w:tcW w:type="dxa" w:w="3288"/>
          </w:tcPr>
          <w:p>
            <w:r>
              <w:t>PR-C7-04</w:t>
            </w:r>
          </w:p>
        </w:tc>
        <w:tc>
          <w:tcPr>
            <w:tcW w:type="dxa" w:w="3288"/>
          </w:tcPr>
          <w:p>
            <w:r>
              <w:t>Absence de code back-office/BDD/auth dans le dossier</w:t>
            </w:r>
          </w:p>
        </w:tc>
        <w:tc>
          <w:tcPr>
            <w:tcW w:type="dxa" w:w="3288"/>
          </w:tcPr>
          <w:p>
            <w:r>
              <w:t>Constat direct sur le répertoire `projet-lbp/`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Titre2"/>
      </w:pPr>
      <w:r>
        <w:t>Annexe finale — Index général des preuves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ID</w:t>
            </w:r>
          </w:p>
        </w:tc>
        <w:tc>
          <w:tcPr>
            <w:tcW w:type="dxa" w:w="2466"/>
          </w:tcPr>
          <w:p>
            <w:r>
              <w:rPr>
                <w:b/>
              </w:rPr>
              <w:t>Chapitre</w:t>
            </w:r>
          </w:p>
        </w:tc>
        <w:tc>
          <w:tcPr>
            <w:tcW w:type="dxa" w:w="2466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2466"/>
          </w:tcPr>
          <w:p>
            <w:r>
              <w:rPr>
                <w:b/>
              </w:rPr>
              <w:t>Référence</w:t>
            </w:r>
          </w:p>
        </w:tc>
      </w:tr>
      <w:tr>
        <w:tc>
          <w:tcPr>
            <w:tcW w:type="dxa" w:w="2466"/>
          </w:tcPr>
          <w:p>
            <w:r>
              <w:t>PR-C1-01</w:t>
            </w:r>
          </w:p>
        </w:tc>
        <w:tc>
          <w:tcPr>
            <w:tcW w:type="dxa" w:w="2466"/>
          </w:tcPr>
          <w:p>
            <w:r>
              <w:t>1</w:t>
            </w:r>
          </w:p>
        </w:tc>
        <w:tc>
          <w:tcPr>
            <w:tcW w:type="dxa" w:w="2466"/>
          </w:tcPr>
          <w:p>
            <w:r>
              <w:t>Vision produit et échéance de livraison</w:t>
            </w:r>
          </w:p>
        </w:tc>
        <w:tc>
          <w:tcPr>
            <w:tcW w:type="dxa" w:w="2466"/>
          </w:tcPr>
          <w:p>
            <w:r>
              <w:t>Compte-rendu, p.1, p.3-4, p.9</w:t>
            </w:r>
          </w:p>
        </w:tc>
      </w:tr>
      <w:tr>
        <w:tc>
          <w:tcPr>
            <w:tcW w:type="dxa" w:w="2466"/>
          </w:tcPr>
          <w:p>
            <w:r>
              <w:t>PR-C1-02</w:t>
            </w:r>
          </w:p>
        </w:tc>
        <w:tc>
          <w:tcPr>
            <w:tcW w:type="dxa" w:w="2466"/>
          </w:tcPr>
          <w:p>
            <w:r>
              <w:t>1</w:t>
            </w:r>
          </w:p>
        </w:tc>
        <w:tc>
          <w:tcPr>
            <w:tcW w:type="dxa" w:w="2466"/>
          </w:tcPr>
          <w:p>
            <w:r>
              <w:t>Périmètre fonctionnel du prototype</w:t>
            </w:r>
          </w:p>
        </w:tc>
        <w:tc>
          <w:tcPr>
            <w:tcW w:type="dxa" w:w="2466"/>
          </w:tcPr>
          <w:p>
            <w:r>
              <w:t>Cahier des charges §1.4.1, p.9 ; `LBP_V2-20.html`</w:t>
            </w:r>
          </w:p>
        </w:tc>
      </w:tr>
      <w:tr>
        <w:tc>
          <w:tcPr>
            <w:tcW w:type="dxa" w:w="2466"/>
          </w:tcPr>
          <w:p>
            <w:r>
              <w:t>PR-C1-03</w:t>
            </w:r>
          </w:p>
        </w:tc>
        <w:tc>
          <w:tcPr>
            <w:tcW w:type="dxa" w:w="2466"/>
          </w:tcPr>
          <w:p>
            <w:r>
              <w:t>1</w:t>
            </w:r>
          </w:p>
        </w:tc>
        <w:tc>
          <w:tcPr>
            <w:tcW w:type="dxa" w:w="2466"/>
          </w:tcPr>
          <w:p>
            <w:r>
              <w:t>Offres commerciales</w:t>
            </w:r>
          </w:p>
        </w:tc>
        <w:tc>
          <w:tcPr>
            <w:tcW w:type="dxa" w:w="2466"/>
          </w:tcPr>
          <w:p>
            <w:r>
              <w:t>`LBP_V2-20.html`, lignes 2566-2587</w:t>
            </w:r>
          </w:p>
        </w:tc>
      </w:tr>
      <w:tr>
        <w:tc>
          <w:tcPr>
            <w:tcW w:type="dxa" w:w="2466"/>
          </w:tcPr>
          <w:p>
            <w:r>
              <w:t>PR-C1-04</w:t>
            </w:r>
          </w:p>
        </w:tc>
        <w:tc>
          <w:tcPr>
            <w:tcW w:type="dxa" w:w="2466"/>
          </w:tcPr>
          <w:p>
            <w:r>
              <w:t>1</w:t>
            </w:r>
          </w:p>
        </w:tc>
        <w:tc>
          <w:tcPr>
            <w:tcW w:type="dxa" w:w="2466"/>
          </w:tcPr>
          <w:p>
            <w:r>
              <w:t>Chiffres paie 2026 et sources légales</w:t>
            </w:r>
          </w:p>
        </w:tc>
        <w:tc>
          <w:tcPr>
            <w:tcW w:type="dxa" w:w="2466"/>
          </w:tcPr>
          <w:p>
            <w:r>
              <w:t>`LBP_V2-20.html`, lignes 2101-2127</w:t>
            </w:r>
          </w:p>
        </w:tc>
      </w:tr>
      <w:tr>
        <w:tc>
          <w:tcPr>
            <w:tcW w:type="dxa" w:w="2466"/>
          </w:tcPr>
          <w:p>
            <w:r>
              <w:t>PR-C1-05</w:t>
            </w:r>
          </w:p>
        </w:tc>
        <w:tc>
          <w:tcPr>
            <w:tcW w:type="dxa" w:w="2466"/>
          </w:tcPr>
          <w:p>
            <w:r>
              <w:t>1</w:t>
            </w:r>
          </w:p>
        </w:tc>
        <w:tc>
          <w:tcPr>
            <w:tcW w:type="dxa" w:w="2466"/>
          </w:tcPr>
          <w:p>
            <w:r>
              <w:t>Arbitrage MoSCoW non réalisé</w:t>
            </w:r>
          </w:p>
        </w:tc>
        <w:tc>
          <w:tcPr>
            <w:tcW w:type="dxa" w:w="2466"/>
          </w:tcPr>
          <w:p>
            <w:r>
              <w:t>`moscow-lbp.html`, lignes 196-259</w:t>
            </w:r>
          </w:p>
        </w:tc>
      </w:tr>
      <w:tr>
        <w:tc>
          <w:tcPr>
            <w:tcW w:type="dxa" w:w="2466"/>
          </w:tcPr>
          <w:p>
            <w:r>
              <w:t>PR-C1-06</w:t>
            </w:r>
          </w:p>
        </w:tc>
        <w:tc>
          <w:tcPr>
            <w:tcW w:type="dxa" w:w="2466"/>
          </w:tcPr>
          <w:p>
            <w:r>
              <w:t>1</w:t>
            </w:r>
          </w:p>
        </w:tc>
        <w:tc>
          <w:tcPr>
            <w:tcW w:type="dxa" w:w="2466"/>
          </w:tcPr>
          <w:p>
            <w:r>
              <w:t>17 points de risques déclarés</w:t>
            </w:r>
          </w:p>
        </w:tc>
        <w:tc>
          <w:tcPr>
            <w:tcW w:type="dxa" w:w="2466"/>
          </w:tcPr>
          <w:p>
            <w:r>
              <w:t>Cahier des charges §6, p.33-36</w:t>
            </w:r>
          </w:p>
        </w:tc>
      </w:tr>
      <w:tr>
        <w:tc>
          <w:tcPr>
            <w:tcW w:type="dxa" w:w="2466"/>
          </w:tcPr>
          <w:p>
            <w:r>
              <w:t>PR-C2-01</w:t>
            </w:r>
          </w:p>
        </w:tc>
        <w:tc>
          <w:tcPr>
            <w:tcW w:type="dxa" w:w="2466"/>
          </w:tcPr>
          <w:p>
            <w:r>
              <w:t>2</w:t>
            </w:r>
          </w:p>
        </w:tc>
        <w:tc>
          <w:tcPr>
            <w:tcW w:type="dxa" w:w="2466"/>
          </w:tcPr>
          <w:p>
            <w:r>
              <w:t>Cahier fonctionnel complet</w:t>
            </w:r>
          </w:p>
        </w:tc>
        <w:tc>
          <w:tcPr>
            <w:tcW w:type="dxa" w:w="2466"/>
          </w:tcPr>
          <w:p>
            <w:r>
              <w:t>Cahier des charges, p.8-13</w:t>
            </w:r>
          </w:p>
        </w:tc>
      </w:tr>
      <w:tr>
        <w:tc>
          <w:tcPr>
            <w:tcW w:type="dxa" w:w="2466"/>
          </w:tcPr>
          <w:p>
            <w:r>
              <w:t>PR-C2-02</w:t>
            </w:r>
          </w:p>
        </w:tc>
        <w:tc>
          <w:tcPr>
            <w:tcW w:type="dxa" w:w="2466"/>
          </w:tcPr>
          <w:p>
            <w:r>
              <w:t>2</w:t>
            </w:r>
          </w:p>
        </w:tc>
        <w:tc>
          <w:tcPr>
            <w:tcW w:type="dxa" w:w="2466"/>
          </w:tcPr>
          <w:p>
            <w:r>
              <w:t>Matrice des droits et principe de publication</w:t>
            </w:r>
          </w:p>
        </w:tc>
        <w:tc>
          <w:tcPr>
            <w:tcW w:type="dxa" w:w="2466"/>
          </w:tcPr>
          <w:p>
            <w:r>
              <w:t>Cahier des charges §2, p.14</w:t>
            </w:r>
          </w:p>
        </w:tc>
      </w:tr>
      <w:tr>
        <w:tc>
          <w:tcPr>
            <w:tcW w:type="dxa" w:w="2466"/>
          </w:tcPr>
          <w:p>
            <w:r>
              <w:t>PR-C2-03</w:t>
            </w:r>
          </w:p>
        </w:tc>
        <w:tc>
          <w:tcPr>
            <w:tcW w:type="dxa" w:w="2466"/>
          </w:tcPr>
          <w:p>
            <w:r>
              <w:t>2</w:t>
            </w:r>
          </w:p>
        </w:tc>
        <w:tc>
          <w:tcPr>
            <w:tcW w:type="dxa" w:w="2466"/>
          </w:tcPr>
          <w:p>
            <w:r>
              <w:t>Constat de périmètre trop étendu</w:t>
            </w:r>
          </w:p>
        </w:tc>
        <w:tc>
          <w:tcPr>
            <w:tcW w:type="dxa" w:w="2466"/>
          </w:tcPr>
          <w:p>
            <w:r>
              <w:t>Compte-rendu, p.5</w:t>
            </w:r>
          </w:p>
        </w:tc>
      </w:tr>
      <w:tr>
        <w:tc>
          <w:tcPr>
            <w:tcW w:type="dxa" w:w="2466"/>
          </w:tcPr>
          <w:p>
            <w:r>
              <w:t>PR-C2-04</w:t>
            </w:r>
          </w:p>
        </w:tc>
        <w:tc>
          <w:tcPr>
            <w:tcW w:type="dxa" w:w="2466"/>
          </w:tcPr>
          <w:p>
            <w:r>
              <w:t>2</w:t>
            </w:r>
          </w:p>
        </w:tc>
        <w:tc>
          <w:tcPr>
            <w:tcW w:type="dxa" w:w="2466"/>
          </w:tcPr>
          <w:p>
            <w:r>
              <w:t>Ambiguïté du modèle de rôles</w:t>
            </w:r>
          </w:p>
        </w:tc>
        <w:tc>
          <w:tcPr>
            <w:tcW w:type="dxa" w:w="2466"/>
          </w:tcPr>
          <w:p>
            <w:r>
              <w:t>Cahier des charges §2.1/§0.4 ; Compte-rendu p.7</w:t>
            </w:r>
          </w:p>
        </w:tc>
      </w:tr>
      <w:tr>
        <w:tc>
          <w:tcPr>
            <w:tcW w:type="dxa" w:w="2466"/>
          </w:tcPr>
          <w:p>
            <w:r>
              <w:t>PR-C2-05</w:t>
            </w:r>
          </w:p>
        </w:tc>
        <w:tc>
          <w:tcPr>
            <w:tcW w:type="dxa" w:w="2466"/>
          </w:tcPr>
          <w:p>
            <w:r>
              <w:t>2</w:t>
            </w:r>
          </w:p>
        </w:tc>
        <w:tc>
          <w:tcPr>
            <w:tcW w:type="dxa" w:w="2466"/>
          </w:tcPr>
          <w:p>
            <w:r>
              <w:t>Hors périmètre explicite</w:t>
            </w:r>
          </w:p>
        </w:tc>
        <w:tc>
          <w:tcPr>
            <w:tcW w:type="dxa" w:w="2466"/>
          </w:tcPr>
          <w:p>
            <w:r>
              <w:t>Cahier des charges, p.35-36</w:t>
            </w:r>
          </w:p>
        </w:tc>
      </w:tr>
      <w:tr>
        <w:tc>
          <w:tcPr>
            <w:tcW w:type="dxa" w:w="2466"/>
          </w:tcPr>
          <w:p>
            <w:r>
              <w:t>PR-C2-06</w:t>
            </w:r>
          </w:p>
        </w:tc>
        <w:tc>
          <w:tcPr>
            <w:tcW w:type="dxa" w:w="2466"/>
          </w:tcPr>
          <w:p>
            <w:r>
              <w:t>2</w:t>
            </w:r>
          </w:p>
        </w:tc>
        <w:tc>
          <w:tcPr>
            <w:tcW w:type="dxa" w:w="2466"/>
          </w:tcPr>
          <w:p>
            <w:r>
              <w:t>Arbitrage MoSCoW non exécuté</w:t>
            </w:r>
          </w:p>
        </w:tc>
        <w:tc>
          <w:tcPr>
            <w:tcW w:type="dxa" w:w="2466"/>
          </w:tcPr>
          <w:p>
            <w:r>
              <w:t>`moscow-lbp.html`, lignes 196-259</w:t>
            </w:r>
          </w:p>
        </w:tc>
      </w:tr>
      <w:tr>
        <w:tc>
          <w:tcPr>
            <w:tcW w:type="dxa" w:w="2466"/>
          </w:tcPr>
          <w:p>
            <w:r>
              <w:t>PR-C3-01</w:t>
            </w:r>
          </w:p>
        </w:tc>
        <w:tc>
          <w:tcPr>
            <w:tcW w:type="dxa" w:w="2466"/>
          </w:tcPr>
          <w:p>
            <w:r>
              <w:t>3</w:t>
            </w:r>
          </w:p>
        </w:tc>
        <w:tc>
          <w:tcPr>
            <w:tcW w:type="dxa" w:w="2466"/>
          </w:tcPr>
          <w:p>
            <w:r>
              <w:t>Absence de framework, dépendance unique mammoth.js</w:t>
            </w:r>
          </w:p>
        </w:tc>
        <w:tc>
          <w:tcPr>
            <w:tcW w:type="dxa" w:w="2466"/>
          </w:tcPr>
          <w:p>
            <w:r>
              <w:t>`LBP_V2-20.html`, ligne 3223</w:t>
            </w:r>
          </w:p>
        </w:tc>
      </w:tr>
      <w:tr>
        <w:tc>
          <w:tcPr>
            <w:tcW w:type="dxa" w:w="2466"/>
          </w:tcPr>
          <w:p>
            <w:r>
              <w:t>PR-C3-02</w:t>
            </w:r>
          </w:p>
        </w:tc>
        <w:tc>
          <w:tcPr>
            <w:tcW w:type="dxa" w:w="2466"/>
          </w:tcPr>
          <w:p>
            <w:r>
              <w:t>3</w:t>
            </w:r>
          </w:p>
        </w:tc>
        <w:tc>
          <w:tcPr>
            <w:tcW w:type="dxa" w:w="2466"/>
          </w:tcPr>
          <w:p>
            <w:r>
              <w:t>13 écrans et fonction de routage</w:t>
            </w:r>
          </w:p>
        </w:tc>
        <w:tc>
          <w:tcPr>
            <w:tcW w:type="dxa" w:w="2466"/>
          </w:tcPr>
          <w:p>
            <w:r>
              <w:t>`LBP_V2-20.html`, lignes 1031-1270</w:t>
            </w:r>
          </w:p>
        </w:tc>
      </w:tr>
      <w:tr>
        <w:tc>
          <w:tcPr>
            <w:tcW w:type="dxa" w:w="2466"/>
          </w:tcPr>
          <w:p>
            <w:r>
              <w:t>PR-C3-03</w:t>
            </w:r>
          </w:p>
        </w:tc>
        <w:tc>
          <w:tcPr>
            <w:tcW w:type="dxa" w:w="2466"/>
          </w:tcPr>
          <w:p>
            <w:r>
              <w:t>3</w:t>
            </w:r>
          </w:p>
        </w:tc>
        <w:tc>
          <w:tcPr>
            <w:tcW w:type="dxa" w:w="2466"/>
          </w:tcPr>
          <w:p>
            <w:r>
              <w:t>Garde de mode G2S côté client uniquement</w:t>
            </w:r>
          </w:p>
        </w:tc>
        <w:tc>
          <w:tcPr>
            <w:tcW w:type="dxa" w:w="2466"/>
          </w:tcPr>
          <w:p>
            <w:r>
              <w:t>`LBP_V2-20.html`, lignes 1185-1239</w:t>
            </w:r>
          </w:p>
        </w:tc>
      </w:tr>
      <w:tr>
        <w:tc>
          <w:tcPr>
            <w:tcW w:type="dxa" w:w="2466"/>
          </w:tcPr>
          <w:p>
            <w:r>
              <w:t>PR-C3-04</w:t>
            </w:r>
          </w:p>
        </w:tc>
        <w:tc>
          <w:tcPr>
            <w:tcW w:type="dxa" w:w="2466"/>
          </w:tcPr>
          <w:p>
            <w:r>
              <w:t>3</w:t>
            </w:r>
          </w:p>
        </w:tc>
        <w:tc>
          <w:tcPr>
            <w:tcW w:type="dxa" w:w="2466"/>
          </w:tcPr>
          <w:p>
            <w:r>
              <w:t>Verrouillage de contenu par palier</w:t>
            </w:r>
          </w:p>
        </w:tc>
        <w:tc>
          <w:tcPr>
            <w:tcW w:type="dxa" w:w="2466"/>
          </w:tcPr>
          <w:p>
            <w:r>
              <w:t>`LBP_V2-20.html`, lignes 2478-2523</w:t>
            </w:r>
          </w:p>
        </w:tc>
      </w:tr>
      <w:tr>
        <w:tc>
          <w:tcPr>
            <w:tcW w:type="dxa" w:w="2466"/>
          </w:tcPr>
          <w:p>
            <w:r>
              <w:t>PR-C3-05</w:t>
            </w:r>
          </w:p>
        </w:tc>
        <w:tc>
          <w:tcPr>
            <w:tcW w:type="dxa" w:w="2466"/>
          </w:tcPr>
          <w:p>
            <w:r>
              <w:t>3</w:t>
            </w:r>
          </w:p>
        </w:tc>
        <w:tc>
          <w:tcPr>
            <w:tcW w:type="dxa" w:w="2466"/>
          </w:tcPr>
          <w:p>
            <w:r>
              <w:t>Alignement charte graphique sur le site vitrine G2S</w:t>
            </w:r>
          </w:p>
        </w:tc>
        <w:tc>
          <w:tcPr>
            <w:tcW w:type="dxa" w:w="2466"/>
          </w:tcPr>
          <w:p>
            <w:r>
              <w:t>`LBP_V2-20.html`, ligne 12 ; Cahier des charges §3.9, p.17</w:t>
            </w:r>
          </w:p>
        </w:tc>
      </w:tr>
      <w:tr>
        <w:tc>
          <w:tcPr>
            <w:tcW w:type="dxa" w:w="2466"/>
          </w:tcPr>
          <w:p>
            <w:r>
              <w:t>PR-C3-06</w:t>
            </w:r>
          </w:p>
        </w:tc>
        <w:tc>
          <w:tcPr>
            <w:tcW w:type="dxa" w:w="2466"/>
          </w:tcPr>
          <w:p>
            <w:r>
              <w:t>3</w:t>
            </w:r>
          </w:p>
        </w:tc>
        <w:tc>
          <w:tcPr>
            <w:tcW w:type="dxa" w:w="2466"/>
          </w:tcPr>
          <w:p>
            <w:r>
              <w:t>Deux flux réseau réels (Netlify Forms)</w:t>
            </w:r>
          </w:p>
        </w:tc>
        <w:tc>
          <w:tcPr>
            <w:tcW w:type="dxa" w:w="2466"/>
          </w:tcPr>
          <w:p>
            <w:r>
              <w:t>`LBP_V2-20.html`, lignes 2700-2747</w:t>
            </w:r>
          </w:p>
        </w:tc>
      </w:tr>
      <w:tr>
        <w:tc>
          <w:tcPr>
            <w:tcW w:type="dxa" w:w="2466"/>
          </w:tcPr>
          <w:p>
            <w:r>
              <w:t>PR-C3-07</w:t>
            </w:r>
          </w:p>
        </w:tc>
        <w:tc>
          <w:tcPr>
            <w:tcW w:type="dxa" w:w="2466"/>
          </w:tcPr>
          <w:p>
            <w:r>
              <w:t>3</w:t>
            </w:r>
          </w:p>
        </w:tc>
        <w:tc>
          <w:tcPr>
            <w:tcW w:type="dxa" w:w="2466"/>
          </w:tcPr>
          <w:p>
            <w:r>
              <w:t>Absence totale de persistance</w:t>
            </w:r>
          </w:p>
        </w:tc>
        <w:tc>
          <w:tcPr>
            <w:tcW w:type="dxa" w:w="2466"/>
          </w:tcPr>
          <w:p>
            <w:r>
              <w:t>`LBP_V2-20.html` (recherche exhaustive) ; Cahier des charges §3.1/§6.2</w:t>
            </w:r>
          </w:p>
        </w:tc>
      </w:tr>
      <w:tr>
        <w:tc>
          <w:tcPr>
            <w:tcW w:type="dxa" w:w="2466"/>
          </w:tcPr>
          <w:p>
            <w:r>
              <w:t>PR-C3-08</w:t>
            </w:r>
          </w:p>
        </w:tc>
        <w:tc>
          <w:tcPr>
            <w:tcW w:type="dxa" w:w="2466"/>
          </w:tcPr>
          <w:p>
            <w:r>
              <w:t>3</w:t>
            </w:r>
          </w:p>
        </w:tc>
        <w:tc>
          <w:tcPr>
            <w:tcW w:type="dxa" w:w="2466"/>
          </w:tcPr>
          <w:p>
            <w:r>
              <w:t>Architecture cible proposée</w:t>
            </w:r>
          </w:p>
        </w:tc>
        <w:tc>
          <w:tcPr>
            <w:tcW w:type="dxa" w:w="2466"/>
          </w:tcPr>
          <w:p>
            <w:r>
              <w:t>Cahier des charges §3.2-3.3, p.15</w:t>
            </w:r>
          </w:p>
        </w:tc>
      </w:tr>
      <w:tr>
        <w:tc>
          <w:tcPr>
            <w:tcW w:type="dxa" w:w="2466"/>
          </w:tcPr>
          <w:p>
            <w:r>
              <w:t>PR-C3-09</w:t>
            </w:r>
          </w:p>
        </w:tc>
        <w:tc>
          <w:tcPr>
            <w:tcW w:type="dxa" w:w="2466"/>
          </w:tcPr>
          <w:p>
            <w:r>
              <w:t>3</w:t>
            </w:r>
          </w:p>
        </w:tc>
        <w:tc>
          <w:tcPr>
            <w:tcW w:type="dxa" w:w="2466"/>
          </w:tcPr>
          <w:p>
            <w:r>
              <w:t>Annexes de code non présentes dans le dossier</w:t>
            </w:r>
          </w:p>
        </w:tc>
        <w:tc>
          <w:tcPr>
            <w:tcW w:type="dxa" w:w="2466"/>
          </w:tcPr>
          <w:p>
            <w:r>
              <w:t>Constat direct sur `projet-lbp/`</w:t>
            </w:r>
          </w:p>
        </w:tc>
      </w:tr>
      <w:tr>
        <w:tc>
          <w:tcPr>
            <w:tcW w:type="dxa" w:w="2466"/>
          </w:tcPr>
          <w:p>
            <w:r>
              <w:t>PR-C4-01</w:t>
            </w:r>
          </w:p>
        </w:tc>
        <w:tc>
          <w:tcPr>
            <w:tcW w:type="dxa" w:w="2466"/>
          </w:tcPr>
          <w:p>
            <w:r>
              <w:t>4</w:t>
            </w:r>
          </w:p>
        </w:tc>
        <w:tc>
          <w:tcPr>
            <w:tcW w:type="dxa" w:w="2466"/>
          </w:tcPr>
          <w:p>
            <w:r>
              <w:t>Moteur de dates et 5 types de récurrence</w:t>
            </w:r>
          </w:p>
        </w:tc>
        <w:tc>
          <w:tcPr>
            <w:tcW w:type="dxa" w:w="2466"/>
          </w:tcPr>
          <w:p>
            <w:r>
              <w:t>`LBP_V2-20.html`, lignes 1397-1421 ; Cahier des charges §3.11.2</w:t>
            </w:r>
          </w:p>
        </w:tc>
      </w:tr>
      <w:tr>
        <w:tc>
          <w:tcPr>
            <w:tcW w:type="dxa" w:w="2466"/>
          </w:tcPr>
          <w:p>
            <w:r>
              <w:t>PR-C4-02</w:t>
            </w:r>
          </w:p>
        </w:tc>
        <w:tc>
          <w:tcPr>
            <w:tcW w:type="dxa" w:w="2466"/>
          </w:tcPr>
          <w:p>
            <w:r>
              <w:t>4</w:t>
            </w:r>
          </w:p>
        </w:tc>
        <w:tc>
          <w:tcPr>
            <w:tcW w:type="dxa" w:w="2466"/>
          </w:tcPr>
          <w:p>
            <w:r>
              <w:t>Filtrage calendrier par taille d'entreprise</w:t>
            </w:r>
          </w:p>
        </w:tc>
        <w:tc>
          <w:tcPr>
            <w:tcW w:type="dxa" w:w="2466"/>
          </w:tcPr>
          <w:p>
            <w:r>
              <w:t>Cahier des charges §3.11.4, p.38</w:t>
            </w:r>
          </w:p>
        </w:tc>
      </w:tr>
      <w:tr>
        <w:tc>
          <w:tcPr>
            <w:tcW w:type="dxa" w:w="2466"/>
          </w:tcPr>
          <w:p>
            <w:r>
              <w:t>PR-C4-03</w:t>
            </w:r>
          </w:p>
        </w:tc>
        <w:tc>
          <w:tcPr>
            <w:tcW w:type="dxa" w:w="2466"/>
          </w:tcPr>
          <w:p>
            <w:r>
              <w:t>4</w:t>
            </w:r>
          </w:p>
        </w:tc>
        <w:tc>
          <w:tcPr>
            <w:tcW w:type="dxa" w:w="2466"/>
          </w:tcPr>
          <w:p>
            <w:r>
              <w:t>Verrouillage limité à 1 bloc sur 5, encore présent</w:t>
            </w:r>
          </w:p>
        </w:tc>
        <w:tc>
          <w:tcPr>
            <w:tcW w:type="dxa" w:w="2466"/>
          </w:tcPr>
          <w:p>
            <w:r>
              <w:t>`LBP_V2-20.html`, lignes 2478-2483 ; rapport de vérification, constat 02</w:t>
            </w:r>
          </w:p>
        </w:tc>
      </w:tr>
      <w:tr>
        <w:tc>
          <w:tcPr>
            <w:tcW w:type="dxa" w:w="2466"/>
          </w:tcPr>
          <w:p>
            <w:r>
              <w:t>PR-C4-04</w:t>
            </w:r>
          </w:p>
        </w:tc>
        <w:tc>
          <w:tcPr>
            <w:tcW w:type="dxa" w:w="2466"/>
          </w:tcPr>
          <w:p>
            <w:r>
              <w:t>4</w:t>
            </w:r>
          </w:p>
        </w:tc>
        <w:tc>
          <w:tcPr>
            <w:tcW w:type="dxa" w:w="2466"/>
          </w:tcPr>
          <w:p>
            <w:r>
              <w:t>Normalisation de recherche, bug d'origine corrigé</w:t>
            </w:r>
          </w:p>
        </w:tc>
        <w:tc>
          <w:tcPr>
            <w:tcW w:type="dxa" w:w="2466"/>
          </w:tcPr>
          <w:p>
            <w:r>
              <w:t>`LBP_V2-20.html`, lignes 1953-3052 ; rapport de vérification, constat 07</w:t>
            </w:r>
          </w:p>
        </w:tc>
      </w:tr>
      <w:tr>
        <w:tc>
          <w:tcPr>
            <w:tcW w:type="dxa" w:w="2466"/>
          </w:tcPr>
          <w:p>
            <w:r>
              <w:t>PR-C4-05</w:t>
            </w:r>
          </w:p>
        </w:tc>
        <w:tc>
          <w:tcPr>
            <w:tcW w:type="dxa" w:w="2466"/>
          </w:tcPr>
          <w:p>
            <w:r>
              <w:t>4</w:t>
            </w:r>
          </w:p>
        </w:tc>
        <w:tc>
          <w:tcPr>
            <w:tcW w:type="dxa" w:w="2466"/>
          </w:tcPr>
          <w:p>
            <w:r>
              <w:t>Suggestion automatique veille → fiche</w:t>
            </w:r>
          </w:p>
        </w:tc>
        <w:tc>
          <w:tcPr>
            <w:tcW w:type="dxa" w:w="2466"/>
          </w:tcPr>
          <w:p>
            <w:r>
              <w:t>`LBP_V2-20.html`, ligne 1994</w:t>
            </w:r>
          </w:p>
        </w:tc>
      </w:tr>
      <w:tr>
        <w:tc>
          <w:tcPr>
            <w:tcW w:type="dxa" w:w="2466"/>
          </w:tcPr>
          <w:p>
            <w:r>
              <w:t>PR-C4-06</w:t>
            </w:r>
          </w:p>
        </w:tc>
        <w:tc>
          <w:tcPr>
            <w:tcW w:type="dxa" w:w="2466"/>
          </w:tcPr>
          <w:p>
            <w:r>
              <w:t>4</w:t>
            </w:r>
          </w:p>
        </w:tc>
        <w:tc>
          <w:tcPr>
            <w:tcW w:type="dxa" w:w="2466"/>
          </w:tcPr>
          <w:p>
            <w:r>
              <w:t>Circuit notification MAJ fiche</w:t>
            </w:r>
          </w:p>
        </w:tc>
        <w:tc>
          <w:tcPr>
            <w:tcW w:type="dxa" w:w="2466"/>
          </w:tcPr>
          <w:p>
            <w:r>
              <w:t>`LBP_V2-20.html`, lignes 2503-2511</w:t>
            </w:r>
          </w:p>
        </w:tc>
      </w:tr>
      <w:tr>
        <w:tc>
          <w:tcPr>
            <w:tcW w:type="dxa" w:w="2466"/>
          </w:tcPr>
          <w:p>
            <w:r>
              <w:t>PR-C4-07</w:t>
            </w:r>
          </w:p>
        </w:tc>
        <w:tc>
          <w:tcPr>
            <w:tcW w:type="dxa" w:w="2466"/>
          </w:tcPr>
          <w:p>
            <w:r>
              <w:t>4</w:t>
            </w:r>
          </w:p>
        </w:tc>
        <w:tc>
          <w:tcPr>
            <w:tcW w:type="dxa" w:w="2466"/>
          </w:tcPr>
          <w:p>
            <w:r>
              <w:t>Référentiels de données codés en dur</w:t>
            </w:r>
          </w:p>
        </w:tc>
        <w:tc>
          <w:tcPr>
            <w:tcW w:type="dxa" w:w="2466"/>
          </w:tcPr>
          <w:p>
            <w:r>
              <w:t>`LBP_V2-20.html`, lignes 1185-2587</w:t>
            </w:r>
          </w:p>
        </w:tc>
      </w:tr>
      <w:tr>
        <w:tc>
          <w:tcPr>
            <w:tcW w:type="dxa" w:w="2466"/>
          </w:tcPr>
          <w:p>
            <w:r>
              <w:t>PR-C5-01</w:t>
            </w:r>
          </w:p>
        </w:tc>
        <w:tc>
          <w:tcPr>
            <w:tcW w:type="dxa" w:w="2466"/>
          </w:tcPr>
          <w:p>
            <w:r>
              <w:t>5</w:t>
            </w:r>
          </w:p>
        </w:tc>
        <w:tc>
          <w:tcPr>
            <w:tcW w:type="dxa" w:w="2466"/>
          </w:tcPr>
          <w:p>
            <w:r>
              <w:t>Données de démonstration fictives</w:t>
            </w:r>
          </w:p>
        </w:tc>
        <w:tc>
          <w:tcPr>
            <w:tcW w:type="dxa" w:w="2466"/>
          </w:tcPr>
          <w:p>
            <w:r>
              <w:t>`LBP_V2-20.html`, lignes 1186-1209</w:t>
            </w:r>
          </w:p>
        </w:tc>
      </w:tr>
      <w:tr>
        <w:tc>
          <w:tcPr>
            <w:tcW w:type="dxa" w:w="2466"/>
          </w:tcPr>
          <w:p>
            <w:r>
              <w:t>PR-C5-02</w:t>
            </w:r>
          </w:p>
        </w:tc>
        <w:tc>
          <w:tcPr>
            <w:tcW w:type="dxa" w:w="2466"/>
          </w:tcPr>
          <w:p>
            <w:r>
              <w:t>5</w:t>
            </w:r>
          </w:p>
        </w:tc>
        <w:tc>
          <w:tcPr>
            <w:tcW w:type="dxa" w:w="2466"/>
          </w:tcPr>
          <w:p>
            <w:r>
              <w:t>Collecte réelle via formulaires Netlify</w:t>
            </w:r>
          </w:p>
        </w:tc>
        <w:tc>
          <w:tcPr>
            <w:tcW w:type="dxa" w:w="2466"/>
          </w:tcPr>
          <w:p>
            <w:r>
              <w:t>`LBP_V2-20.html`, lignes 2700-2747</w:t>
            </w:r>
          </w:p>
        </w:tc>
      </w:tr>
      <w:tr>
        <w:tc>
          <w:tcPr>
            <w:tcW w:type="dxa" w:w="2466"/>
          </w:tcPr>
          <w:p>
            <w:r>
              <w:t>PR-C5-03</w:t>
            </w:r>
          </w:p>
        </w:tc>
        <w:tc>
          <w:tcPr>
            <w:tcW w:type="dxa" w:w="2466"/>
          </w:tcPr>
          <w:p>
            <w:r>
              <w:t>5</w:t>
            </w:r>
          </w:p>
        </w:tc>
        <w:tc>
          <w:tcPr>
            <w:tcW w:type="dxa" w:w="2466"/>
          </w:tcPr>
          <w:p>
            <w:r>
              <w:t>Absence de mesure de sécurité applicative</w:t>
            </w:r>
          </w:p>
        </w:tc>
        <w:tc>
          <w:tcPr>
            <w:tcW w:type="dxa" w:w="2466"/>
          </w:tcPr>
          <w:p>
            <w:r>
              <w:t>Inspection directe (Chapitre 3)</w:t>
            </w:r>
          </w:p>
        </w:tc>
      </w:tr>
      <w:tr>
        <w:tc>
          <w:tcPr>
            <w:tcW w:type="dxa" w:w="2466"/>
          </w:tcPr>
          <w:p>
            <w:r>
              <w:t>PR-C5-04</w:t>
            </w:r>
          </w:p>
        </w:tc>
        <w:tc>
          <w:tcPr>
            <w:tcW w:type="dxa" w:w="2466"/>
          </w:tcPr>
          <w:p>
            <w:r>
              <w:t>5</w:t>
            </w:r>
          </w:p>
        </w:tc>
        <w:tc>
          <w:tcPr>
            <w:tcW w:type="dxa" w:w="2466"/>
          </w:tcPr>
          <w:p>
            <w:r>
              <w:t>Principes de sécurité cible non implémentés</w:t>
            </w:r>
          </w:p>
        </w:tc>
        <w:tc>
          <w:tcPr>
            <w:tcW w:type="dxa" w:w="2466"/>
          </w:tcPr>
          <w:p>
            <w:r>
              <w:t>Cahier des charges §3.10, p.18</w:t>
            </w:r>
          </w:p>
        </w:tc>
      </w:tr>
      <w:tr>
        <w:tc>
          <w:tcPr>
            <w:tcW w:type="dxa" w:w="2466"/>
          </w:tcPr>
          <w:p>
            <w:r>
              <w:t>PR-C5-05</w:t>
            </w:r>
          </w:p>
        </w:tc>
        <w:tc>
          <w:tcPr>
            <w:tcW w:type="dxa" w:w="2466"/>
          </w:tcPr>
          <w:p>
            <w:r>
              <w:t>5</w:t>
            </w:r>
          </w:p>
        </w:tc>
        <w:tc>
          <w:tcPr>
            <w:tcW w:type="dxa" w:w="2466"/>
          </w:tcPr>
          <w:p>
            <w:r>
              <w:t>Éditeur sans accès aux mots de passe clients</w:t>
            </w:r>
          </w:p>
        </w:tc>
        <w:tc>
          <w:tcPr>
            <w:tcW w:type="dxa" w:w="2466"/>
          </w:tcPr>
          <w:p>
            <w:r>
              <w:t>Cahier des charges §3.5/§9</w:t>
            </w:r>
          </w:p>
        </w:tc>
      </w:tr>
      <w:tr>
        <w:tc>
          <w:tcPr>
            <w:tcW w:type="dxa" w:w="2466"/>
          </w:tcPr>
          <w:p>
            <w:r>
              <w:t>PR-C5-06</w:t>
            </w:r>
          </w:p>
        </w:tc>
        <w:tc>
          <w:tcPr>
            <w:tcW w:type="dxa" w:w="2466"/>
          </w:tcPr>
          <w:p>
            <w:r>
              <w:t>5</w:t>
            </w:r>
          </w:p>
        </w:tc>
        <w:tc>
          <w:tcPr>
            <w:tcW w:type="dxa" w:w="2466"/>
          </w:tcPr>
          <w:p>
            <w:r>
              <w:t>Consentement/conservation/droits non tranchés</w:t>
            </w:r>
          </w:p>
        </w:tc>
        <w:tc>
          <w:tcPr>
            <w:tcW w:type="dxa" w:w="2466"/>
          </w:tcPr>
          <w:p>
            <w:r>
              <w:t>Cahier des charges §3.10, p.18</w:t>
            </w:r>
          </w:p>
        </w:tc>
      </w:tr>
      <w:tr>
        <w:tc>
          <w:tcPr>
            <w:tcW w:type="dxa" w:w="2466"/>
          </w:tcPr>
          <w:p>
            <w:r>
              <w:t>PR-C6-01</w:t>
            </w:r>
          </w:p>
        </w:tc>
        <w:tc>
          <w:tcPr>
            <w:tcW w:type="dxa" w:w="2466"/>
          </w:tcPr>
          <w:p>
            <w:r>
              <w:t>6</w:t>
            </w:r>
          </w:p>
        </w:tc>
        <w:tc>
          <w:tcPr>
            <w:tcW w:type="dxa" w:w="2466"/>
          </w:tcPr>
          <w:p>
            <w:r>
              <w:t>17 points de risques déclarés</w:t>
            </w:r>
          </w:p>
        </w:tc>
        <w:tc>
          <w:tcPr>
            <w:tcW w:type="dxa" w:w="2466"/>
          </w:tcPr>
          <w:p>
            <w:r>
              <w:t>Cahier des charges §6, p.33-36</w:t>
            </w:r>
          </w:p>
        </w:tc>
      </w:tr>
      <w:tr>
        <w:tc>
          <w:tcPr>
            <w:tcW w:type="dxa" w:w="2466"/>
          </w:tcPr>
          <w:p>
            <w:r>
              <w:t>PR-C6-02</w:t>
            </w:r>
          </w:p>
        </w:tc>
        <w:tc>
          <w:tcPr>
            <w:tcW w:type="dxa" w:w="2466"/>
          </w:tcPr>
          <w:p>
            <w:r>
              <w:t>6</w:t>
            </w:r>
          </w:p>
        </w:tc>
        <w:tc>
          <w:tcPr>
            <w:tcW w:type="dxa" w:w="2466"/>
          </w:tcPr>
          <w:p>
            <w:r>
              <w:t>Rapport de vérification des constats de terrain</w:t>
            </w:r>
          </w:p>
        </w:tc>
        <w:tc>
          <w:tcPr>
            <w:tcW w:type="dxa" w:w="2466"/>
          </w:tcPr>
          <w:p>
            <w:r>
              <w:t>`RAPPORT_VERIFICATION_CONSTATS_TERRAIN.md`</w:t>
            </w:r>
          </w:p>
        </w:tc>
      </w:tr>
      <w:tr>
        <w:tc>
          <w:tcPr>
            <w:tcW w:type="dxa" w:w="2466"/>
          </w:tcPr>
          <w:p>
            <w:r>
              <w:t>PR-C6-03</w:t>
            </w:r>
          </w:p>
        </w:tc>
        <w:tc>
          <w:tcPr>
            <w:tcW w:type="dxa" w:w="2466"/>
          </w:tcPr>
          <w:p>
            <w:r>
              <w:t>6</w:t>
            </w:r>
          </w:p>
        </w:tc>
        <w:tc>
          <w:tcPr>
            <w:tcW w:type="dxa" w:w="2466"/>
          </w:tcPr>
          <w:p>
            <w:r>
              <w:t>Correction confirmée du bug de publication</w:t>
            </w:r>
          </w:p>
        </w:tc>
        <w:tc>
          <w:tcPr>
            <w:tcW w:type="dxa" w:w="2466"/>
          </w:tcPr>
          <w:p>
            <w:r>
              <w:t>`LBP_V2-20.html`, ligne 2754</w:t>
            </w:r>
          </w:p>
        </w:tc>
      </w:tr>
      <w:tr>
        <w:tc>
          <w:tcPr>
            <w:tcW w:type="dxa" w:w="2466"/>
          </w:tcPr>
          <w:p>
            <w:r>
              <w:t>PR-C6-04</w:t>
            </w:r>
          </w:p>
        </w:tc>
        <w:tc>
          <w:tcPr>
            <w:tcW w:type="dxa" w:w="2466"/>
          </w:tcPr>
          <w:p>
            <w:r>
              <w:t>6</w:t>
            </w:r>
          </w:p>
        </w:tc>
        <w:tc>
          <w:tcPr>
            <w:tcW w:type="dxa" w:w="2466"/>
          </w:tcPr>
          <w:p>
            <w:r>
              <w:t>Bug de verrouillage par offre toujours présent</w:t>
            </w:r>
          </w:p>
        </w:tc>
        <w:tc>
          <w:tcPr>
            <w:tcW w:type="dxa" w:w="2466"/>
          </w:tcPr>
          <w:p>
            <w:r>
              <w:t>`LBP_V2-20.html`, lignes 2478-2483</w:t>
            </w:r>
          </w:p>
        </w:tc>
      </w:tr>
      <w:tr>
        <w:tc>
          <w:tcPr>
            <w:tcW w:type="dxa" w:w="2466"/>
          </w:tcPr>
          <w:p>
            <w:r>
              <w:t>PR-C6-05</w:t>
            </w:r>
          </w:p>
        </w:tc>
        <w:tc>
          <w:tcPr>
            <w:tcW w:type="dxa" w:w="2466"/>
          </w:tcPr>
          <w:p>
            <w:r>
              <w:t>6</w:t>
            </w:r>
          </w:p>
        </w:tc>
        <w:tc>
          <w:tcPr>
            <w:tcW w:type="dxa" w:w="2466"/>
          </w:tcPr>
          <w:p>
            <w:r>
              <w:t>Confirmation partielle au changement d'offre</w:t>
            </w:r>
          </w:p>
        </w:tc>
        <w:tc>
          <w:tcPr>
            <w:tcW w:type="dxa" w:w="2466"/>
          </w:tcPr>
          <w:p>
            <w:r>
              <w:t>`LBP_V2-20.html`, lignes 1309-1312</w:t>
            </w:r>
          </w:p>
        </w:tc>
      </w:tr>
      <w:tr>
        <w:tc>
          <w:tcPr>
            <w:tcW w:type="dxa" w:w="2466"/>
          </w:tcPr>
          <w:p>
            <w:r>
              <w:t>PR-C6-06</w:t>
            </w:r>
          </w:p>
        </w:tc>
        <w:tc>
          <w:tcPr>
            <w:tcW w:type="dxa" w:w="2466"/>
          </w:tcPr>
          <w:p>
            <w:r>
              <w:t>6</w:t>
            </w:r>
          </w:p>
        </w:tc>
        <w:tc>
          <w:tcPr>
            <w:tcW w:type="dxa" w:w="2466"/>
          </w:tcPr>
          <w:p>
            <w:r>
              <w:t>Corrections d'accessibilité WCAG appliquées</w:t>
            </w:r>
          </w:p>
        </w:tc>
        <w:tc>
          <w:tcPr>
            <w:tcW w:type="dxa" w:w="2466"/>
          </w:tcPr>
          <w:p>
            <w:r>
              <w:t>`MODIFICATIONS_LBP_V2-20.md` ; `LBP_V2-20.html`, lignes 14, 172</w:t>
            </w:r>
          </w:p>
        </w:tc>
      </w:tr>
      <w:tr>
        <w:tc>
          <w:tcPr>
            <w:tcW w:type="dxa" w:w="2466"/>
          </w:tcPr>
          <w:p>
            <w:r>
              <w:t>PR-C6-07</w:t>
            </w:r>
          </w:p>
        </w:tc>
        <w:tc>
          <w:tcPr>
            <w:tcW w:type="dxa" w:w="2466"/>
          </w:tcPr>
          <w:p>
            <w:r>
              <w:t>6</w:t>
            </w:r>
          </w:p>
        </w:tc>
        <w:tc>
          <w:tcPr>
            <w:tcW w:type="dxa" w:w="2466"/>
          </w:tcPr>
          <w:p>
            <w:r>
              <w:t>Absence de runbook et de `.env` dans le dossier</w:t>
            </w:r>
          </w:p>
        </w:tc>
        <w:tc>
          <w:tcPr>
            <w:tcW w:type="dxa" w:w="2466"/>
          </w:tcPr>
          <w:p>
            <w:r>
              <w:t>Constat direct sur `projet-lbp/`</w:t>
            </w:r>
          </w:p>
        </w:tc>
      </w:tr>
      <w:tr>
        <w:tc>
          <w:tcPr>
            <w:tcW w:type="dxa" w:w="2466"/>
          </w:tcPr>
          <w:p>
            <w:r>
              <w:t>PR-C6-08</w:t>
            </w:r>
          </w:p>
        </w:tc>
        <w:tc>
          <w:tcPr>
            <w:tcW w:type="dxa" w:w="2466"/>
          </w:tcPr>
          <w:p>
            <w:r>
              <w:t>6</w:t>
            </w:r>
          </w:p>
        </w:tc>
        <w:tc>
          <w:tcPr>
            <w:tcW w:type="dxa" w:w="2466"/>
          </w:tcPr>
          <w:p>
            <w:r>
              <w:t>Absence de SPEC-FRONT-0001</w:t>
            </w:r>
          </w:p>
        </w:tc>
        <w:tc>
          <w:tcPr>
            <w:tcW w:type="dxa" w:w="2466"/>
          </w:tcPr>
          <w:p>
            <w:r>
              <w:t>Constat direct</w:t>
            </w:r>
          </w:p>
        </w:tc>
      </w:tr>
      <w:tr>
        <w:tc>
          <w:tcPr>
            <w:tcW w:type="dxa" w:w="2466"/>
          </w:tcPr>
          <w:p>
            <w:r>
              <w:t>PR-C7-01</w:t>
            </w:r>
          </w:p>
        </w:tc>
        <w:tc>
          <w:tcPr>
            <w:tcW w:type="dxa" w:w="2466"/>
          </w:tcPr>
          <w:p>
            <w:r>
              <w:t>7</w:t>
            </w:r>
          </w:p>
        </w:tc>
        <w:tc>
          <w:tcPr>
            <w:tcW w:type="dxa" w:w="2466"/>
          </w:tcPr>
          <w:p>
            <w:r>
              <w:t>Feuille de route et échéances</w:t>
            </w:r>
          </w:p>
        </w:tc>
        <w:tc>
          <w:tcPr>
            <w:tcW w:type="dxa" w:w="2466"/>
          </w:tcPr>
          <w:p>
            <w:r>
              <w:t>Compte-rendu, p.9</w:t>
            </w:r>
          </w:p>
        </w:tc>
      </w:tr>
      <w:tr>
        <w:tc>
          <w:tcPr>
            <w:tcW w:type="dxa" w:w="2466"/>
          </w:tcPr>
          <w:p>
            <w:r>
              <w:t>PR-C7-02</w:t>
            </w:r>
          </w:p>
        </w:tc>
        <w:tc>
          <w:tcPr>
            <w:tcW w:type="dxa" w:w="2466"/>
          </w:tcPr>
          <w:p>
            <w:r>
              <w:t>7</w:t>
            </w:r>
          </w:p>
        </w:tc>
        <w:tc>
          <w:tcPr>
            <w:tcW w:type="dxa" w:w="2466"/>
          </w:tcPr>
          <w:p>
            <w:r>
              <w:t>Roadmap de construction en 6 phases</w:t>
            </w:r>
          </w:p>
        </w:tc>
        <w:tc>
          <w:tcPr>
            <w:tcW w:type="dxa" w:w="2466"/>
          </w:tcPr>
          <w:p>
            <w:r>
              <w:t>Cahier des charges §7, p.37</w:t>
            </w:r>
          </w:p>
        </w:tc>
      </w:tr>
      <w:tr>
        <w:tc>
          <w:tcPr>
            <w:tcW w:type="dxa" w:w="2466"/>
          </w:tcPr>
          <w:p>
            <w:r>
              <w:t>PR-C7-03</w:t>
            </w:r>
          </w:p>
        </w:tc>
        <w:tc>
          <w:tcPr>
            <w:tcW w:type="dxa" w:w="2466"/>
          </w:tcPr>
          <w:p>
            <w:r>
              <w:t>7</w:t>
            </w:r>
          </w:p>
        </w:tc>
        <w:tc>
          <w:tcPr>
            <w:tcW w:type="dxa" w:w="2466"/>
          </w:tcPr>
          <w:p>
            <w:r>
              <w:t>Arbitrage MoSCoW non exécuté</w:t>
            </w:r>
          </w:p>
        </w:tc>
        <w:tc>
          <w:tcPr>
            <w:tcW w:type="dxa" w:w="2466"/>
          </w:tcPr>
          <w:p>
            <w:r>
              <w:t>`moscow-lbp.html`, lignes 196-259</w:t>
            </w:r>
          </w:p>
        </w:tc>
      </w:tr>
      <w:tr>
        <w:tc>
          <w:tcPr>
            <w:tcW w:type="dxa" w:w="2466"/>
          </w:tcPr>
          <w:p>
            <w:r>
              <w:t>PR-C7-04</w:t>
            </w:r>
          </w:p>
        </w:tc>
        <w:tc>
          <w:tcPr>
            <w:tcW w:type="dxa" w:w="2466"/>
          </w:tcPr>
          <w:p>
            <w:r>
              <w:t>7</w:t>
            </w:r>
          </w:p>
        </w:tc>
        <w:tc>
          <w:tcPr>
            <w:tcW w:type="dxa" w:w="2466"/>
          </w:tcPr>
          <w:p>
            <w:r>
              <w:t>Absence de code back-office/BDD/auth</w:t>
            </w:r>
          </w:p>
        </w:tc>
        <w:tc>
          <w:tcPr>
            <w:tcW w:type="dxa" w:w="2466"/>
          </w:tcPr>
          <w:p>
            <w:r>
              <w:t>Constat direct sur `projet-lbp/`</w:t>
            </w:r>
          </w:p>
        </w:tc>
      </w:tr>
    </w:tbl>
    <w:p/>
    <w:p>
      <w:pPr>
        <w:pStyle w:val="Titre2"/>
      </w:pPr>
      <w:r>
        <w:t>Historique des versions</w:t>
      </w:r>
    </w:p>
    <w:tbl>
      <w:tblPr>
        <w:tblStyle w:val="1-styletableau-G2S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6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66"/>
          </w:tcPr>
          <w:p>
            <w:r>
              <w:rPr>
                <w:b/>
              </w:rPr>
              <w:t>Auteur</w:t>
            </w:r>
          </w:p>
        </w:tc>
        <w:tc>
          <w:tcPr>
            <w:tcW w:type="dxa" w:w="2466"/>
          </w:tcPr>
          <w:p>
            <w:r>
              <w:rPr>
                <w:b/>
              </w:rPr>
              <w:t>Contenu</w:t>
            </w:r>
          </w:p>
        </w:tc>
      </w:tr>
      <w:tr>
        <w:tc>
          <w:tcPr>
            <w:tcW w:type="dxa" w:w="2466"/>
          </w:tcPr>
          <w:p>
            <w:r>
              <w:t>0.1.0</w:t>
            </w:r>
          </w:p>
        </w:tc>
        <w:tc>
          <w:tcPr>
            <w:tcW w:type="dxa" w:w="2466"/>
          </w:tcPr>
          <w:p>
            <w:r>
              <w:t>2026-09-16</w:t>
            </w:r>
          </w:p>
        </w:tc>
        <w:tc>
          <w:tcPr>
            <w:tcW w:type="dxa" w:w="2466"/>
          </w:tcPr>
          <w:p>
            <w:r>
              <w:t>James Ahmedaly (amorçage automatisé)</w:t>
            </w:r>
          </w:p>
        </w:tc>
        <w:tc>
          <w:tcPr>
            <w:tcW w:type="dxa" w:w="2466"/>
          </w:tcPr>
          <w:p>
            <w:r>
              <w:t>Amorçage — brouillon non opposable, en attente de validation des pilotes (§0)</w:t>
            </w:r>
          </w:p>
        </w:tc>
      </w:tr>
    </w:tbl>
    <w:p/>
    <w:sectPr w:rsidR="00DA5A48" w:rsidSect="000057D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021" w:right="1021" w:bottom="1021" w:left="1021" w:header="289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CBBBF" w14:textId="77777777" w:rsidR="00DA6D36" w:rsidRDefault="00DA6D36">
      <w:pPr>
        <w:spacing w:line="240" w:lineRule="auto"/>
      </w:pPr>
      <w:r>
        <w:separator/>
      </w:r>
    </w:p>
  </w:endnote>
  <w:endnote w:type="continuationSeparator" w:id="0">
    <w:p w14:paraId="7D642380" w14:textId="77777777" w:rsidR="00DA6D36" w:rsidRDefault="00DA6D36">
      <w:pPr>
        <w:spacing w:line="240" w:lineRule="auto"/>
      </w:pPr>
      <w:r>
        <w:continuationSeparator/>
      </w:r>
    </w:p>
  </w:endnote>
  <w:endnote w:type="continuationNotice" w:id="1">
    <w:p w14:paraId="38573C6A" w14:textId="77777777" w:rsidR="00DA6D36" w:rsidRDefault="00DA6D3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F3F2F" w14:textId="77777777" w:rsidR="009D3248" w:rsidRDefault="009D324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CF1E7" w14:textId="77777777" w:rsidR="005C6D45" w:rsidRPr="00327A71" w:rsidRDefault="005C6D45" w:rsidP="00327A7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5AB1" w14:textId="77777777" w:rsidR="009D3248" w:rsidRDefault="009D324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67F9D" w14:textId="77777777" w:rsidR="00DA6D36" w:rsidRDefault="00DA6D36">
      <w:pPr>
        <w:spacing w:line="240" w:lineRule="auto"/>
      </w:pPr>
      <w:r>
        <w:separator/>
      </w:r>
    </w:p>
  </w:footnote>
  <w:footnote w:type="continuationSeparator" w:id="0">
    <w:p w14:paraId="24B85306" w14:textId="77777777" w:rsidR="00DA6D36" w:rsidRDefault="00DA6D36">
      <w:pPr>
        <w:spacing w:line="240" w:lineRule="auto"/>
      </w:pPr>
      <w:r>
        <w:continuationSeparator/>
      </w:r>
    </w:p>
  </w:footnote>
  <w:footnote w:type="continuationNotice" w:id="1">
    <w:p w14:paraId="4FF14379" w14:textId="77777777" w:rsidR="00DA6D36" w:rsidRDefault="00DA6D3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B5186" w14:textId="77777777" w:rsidR="009D3248" w:rsidRDefault="009D324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636" w:type="dxa"/>
      <w:tblInd w:w="846" w:type="dxa"/>
      <w:tblLook w:val="04A0" w:firstRow="1" w:lastRow="0" w:firstColumn="1" w:lastColumn="0" w:noHBand="0" w:noVBand="1"/>
    </w:tblPr>
    <w:tblGrid>
      <w:gridCol w:w="1173"/>
      <w:gridCol w:w="1809"/>
      <w:gridCol w:w="850"/>
      <w:gridCol w:w="284"/>
      <w:gridCol w:w="850"/>
      <w:gridCol w:w="4820"/>
      <w:gridCol w:w="850"/>
    </w:tblGrid>
    <w:tr w:rsidR="00A771E2" w:rsidRPr="009E5785" w14:paraId="7B3BE764" w14:textId="77777777" w:rsidTr="009E578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1173" w:type="dxa"/>
        </w:tcPr>
        <w:p w14:paraId="06AC8141" w14:textId="2BD4A4E7" w:rsidR="00A771E2" w:rsidRPr="009E5785" w:rsidRDefault="00A771E2">
          <w:pPr>
            <w:pStyle w:val="En-tte"/>
            <w:rPr>
              <w:b w:val="0"/>
              <w:bCs/>
              <w:sz w:val="16"/>
              <w:szCs w:val="16"/>
            </w:rPr>
          </w:pPr>
          <w:r w:rsidRPr="009E5785">
            <w:rPr>
              <w:b w:val="0"/>
              <w:bCs/>
              <w:sz w:val="16"/>
              <w:szCs w:val="16"/>
            </w:rPr>
            <w:t>Référence</w:t>
          </w:r>
        </w:p>
      </w:tc>
      <w:tc>
        <w:tcPr>
          <w:tcW w:w="2659" w:type="dxa"/>
          <w:gridSpan w:val="2"/>
        </w:tcPr>
        <w:p w14:paraId="22E74733" w14:textId="179D8E8D" w:rsidR="00A771E2" w:rsidRPr="009E5785" w:rsidRDefault="00A771E2">
          <w:pPr>
            <w:pStyle w:val="En-tte"/>
            <w:rPr>
              <w:sz w:val="16"/>
              <w:szCs w:val="16"/>
            </w:rPr>
          </w:pPr>
          <w:r>
            <w:rPr>
              <w:sz w:val="16"/>
            </w:rPr>
            <w:t>SPEC-XXXX-</w:t>
          </w:r>
          <w:proofErr w:type="spellStart"/>
          <w:r>
            <w:rPr>
              <w:sz w:val="16"/>
            </w:rPr>
            <w:t>NomProjet</w:t>
          </w:r>
          <w:proofErr w:type="spellEnd"/>
          <w:r>
            <w:rPr>
              <w:sz w:val="16"/>
            </w:rPr>
            <w:t>-VX_X</w:t>
          </w:r>
        </w:p>
      </w:tc>
      <w:tc>
        <w:tcPr>
          <w:tcW w:w="1134" w:type="dxa"/>
          <w:gridSpan w:val="2"/>
        </w:tcPr>
        <w:p w14:paraId="1DA325ED" w14:textId="2AD0ACA7" w:rsidR="00A771E2" w:rsidRPr="009E5785" w:rsidRDefault="00A771E2" w:rsidP="00915367">
          <w:pPr>
            <w:pStyle w:val="En-tte"/>
            <w:tabs>
              <w:tab w:val="left" w:pos="1110"/>
            </w:tabs>
            <w:rPr>
              <w:b w:val="0"/>
              <w:bCs/>
              <w:sz w:val="16"/>
              <w:szCs w:val="16"/>
            </w:rPr>
          </w:pPr>
          <w:r w:rsidRPr="009E5785">
            <w:rPr>
              <w:b w:val="0"/>
              <w:bCs/>
              <w:sz w:val="16"/>
              <w:szCs w:val="16"/>
            </w:rPr>
            <w:t>Titre</w:t>
          </w:r>
          <w:r w:rsidR="00915367" w:rsidRPr="009E5785">
            <w:rPr>
              <w:b w:val="0"/>
              <w:bCs/>
              <w:sz w:val="16"/>
              <w:szCs w:val="16"/>
            </w:rPr>
            <w:tab/>
          </w:r>
        </w:p>
      </w:tc>
      <w:tc>
        <w:tcPr>
          <w:tcW w:w="5670" w:type="dxa"/>
          <w:gridSpan w:val="2"/>
        </w:tcPr>
        <w:p w14:paraId="16F2C9FF" w14:textId="12728394" w:rsidR="00A771E2" w:rsidRPr="009E5785" w:rsidRDefault="00A771E2">
          <w:pPr>
            <w:pStyle w:val="En-tte"/>
            <w:rPr>
              <w:sz w:val="16"/>
              <w:szCs w:val="16"/>
            </w:rPr>
          </w:pPr>
          <w:r>
            <w:rPr>
              <w:sz w:val="16"/>
            </w:rPr>
            <w:t>Nom du Projet — Documentation Technique Spécifique Pipeline Python / Script de traitement — G2S Cortex</w:t>
          </w:r>
        </w:p>
      </w:tc>
    </w:tr>
    <w:tr w:rsidR="00A771E2" w:rsidRPr="009E5785" w14:paraId="3C54C36F" w14:textId="77777777" w:rsidTr="009E5785">
      <w:trPr>
        <w:gridAfter w:val="1"/>
        <w:wAfter w:w="850" w:type="dxa"/>
      </w:trPr>
      <w:tc>
        <w:tcPr>
          <w:tcW w:w="1173" w:type="dxa"/>
        </w:tcPr>
        <w:p w14:paraId="4428EA87" w14:textId="120F8127" w:rsidR="00A771E2" w:rsidRPr="009E5785" w:rsidRDefault="00A771E2">
          <w:pPr>
            <w:pStyle w:val="En-tte"/>
            <w:rPr>
              <w:b/>
              <w:bCs/>
              <w:sz w:val="16"/>
              <w:szCs w:val="16"/>
            </w:rPr>
          </w:pPr>
          <w:r w:rsidRPr="009E5785">
            <w:rPr>
              <w:b/>
              <w:bCs/>
              <w:sz w:val="16"/>
              <w:szCs w:val="16"/>
            </w:rPr>
            <w:t>Date</w:t>
          </w:r>
        </w:p>
      </w:tc>
      <w:tc>
        <w:tcPr>
          <w:tcW w:w="1809" w:type="dxa"/>
        </w:tcPr>
        <w:p w14:paraId="70BA18FA" w14:textId="2510D6DC" w:rsidR="00A771E2" w:rsidRPr="009E5785" w:rsidRDefault="00A771E2">
          <w:pPr>
            <w:pStyle w:val="En-tte"/>
            <w:rPr>
              <w:sz w:val="16"/>
              <w:szCs w:val="16"/>
            </w:rPr>
          </w:pPr>
          <w:r>
            <w:rPr>
              <w:sz w:val="16"/>
            </w:rPr>
            <w:t>YYYY-MM-DD</w:t>
          </w:r>
        </w:p>
      </w:tc>
      <w:tc>
        <w:tcPr>
          <w:tcW w:w="1134" w:type="dxa"/>
          <w:gridSpan w:val="2"/>
        </w:tcPr>
        <w:p w14:paraId="2E5D2A27" w14:textId="1978DEE2" w:rsidR="00A771E2" w:rsidRPr="009E5785" w:rsidRDefault="00A771E2">
          <w:pPr>
            <w:pStyle w:val="En-tte"/>
            <w:rPr>
              <w:b/>
              <w:bCs/>
              <w:sz w:val="16"/>
              <w:szCs w:val="16"/>
            </w:rPr>
          </w:pPr>
          <w:r w:rsidRPr="009E5785">
            <w:rPr>
              <w:b/>
              <w:bCs/>
              <w:sz w:val="16"/>
              <w:szCs w:val="16"/>
            </w:rPr>
            <w:t>Version</w:t>
          </w:r>
        </w:p>
      </w:tc>
      <w:tc>
        <w:tcPr>
          <w:tcW w:w="5670" w:type="dxa"/>
          <w:gridSpan w:val="2"/>
        </w:tcPr>
        <w:p w14:paraId="4726F368" w14:textId="77777777" w:rsidR="00A771E2" w:rsidRPr="009E5785" w:rsidRDefault="00A771E2">
          <w:pPr>
            <w:pStyle w:val="En-tte"/>
            <w:rPr>
              <w:sz w:val="16"/>
              <w:szCs w:val="16"/>
            </w:rPr>
          </w:pPr>
          <w:r>
            <w:rPr>
              <w:sz w:val="16"/>
            </w:rPr>
            <w:t>1.0</w:t>
          </w:r>
        </w:p>
      </w:tc>
    </w:tr>
    <w:tr w:rsidR="00A771E2" w:rsidRPr="009E5785" w14:paraId="4E828F2C" w14:textId="77777777" w:rsidTr="009E5785">
      <w:trPr>
        <w:gridAfter w:val="1"/>
        <w:wAfter w:w="850" w:type="dxa"/>
      </w:trPr>
      <w:tc>
        <w:tcPr>
          <w:tcW w:w="1173" w:type="dxa"/>
        </w:tcPr>
        <w:p w14:paraId="0D576814" w14:textId="5DE7D8AD" w:rsidR="00A771E2" w:rsidRPr="009E5785" w:rsidRDefault="00A771E2" w:rsidP="00A771E2">
          <w:pPr>
            <w:pStyle w:val="En-tte"/>
            <w:rPr>
              <w:b/>
              <w:bCs/>
              <w:sz w:val="16"/>
              <w:szCs w:val="16"/>
            </w:rPr>
          </w:pPr>
          <w:r w:rsidRPr="009E5785">
            <w:rPr>
              <w:b/>
              <w:bCs/>
              <w:sz w:val="16"/>
              <w:szCs w:val="16"/>
            </w:rPr>
            <w:t>Rédacteur</w:t>
          </w:r>
        </w:p>
      </w:tc>
      <w:tc>
        <w:tcPr>
          <w:tcW w:w="1809" w:type="dxa"/>
        </w:tcPr>
        <w:p w14:paraId="6D407FE9" w14:textId="737EAE0B" w:rsidR="00A771E2" w:rsidRPr="009E5785" w:rsidRDefault="00A771E2" w:rsidP="00A771E2">
          <w:pPr>
            <w:pStyle w:val="En-tte"/>
            <w:rPr>
              <w:sz w:val="16"/>
              <w:szCs w:val="16"/>
            </w:rPr>
          </w:pPr>
          <w:r>
            <w:rPr>
              <w:sz w:val="16"/>
            </w:rPr>
            <w:t>G2S Cortex</w:t>
          </w:r>
        </w:p>
      </w:tc>
      <w:tc>
        <w:tcPr>
          <w:tcW w:w="1134" w:type="dxa"/>
          <w:gridSpan w:val="2"/>
        </w:tcPr>
        <w:p w14:paraId="5E77F3C5" w14:textId="77777777" w:rsidR="00A771E2" w:rsidRPr="009E5785" w:rsidRDefault="00A771E2" w:rsidP="00A771E2">
          <w:pPr>
            <w:pStyle w:val="En-tte"/>
            <w:rPr>
              <w:sz w:val="16"/>
              <w:szCs w:val="16"/>
            </w:rPr>
          </w:pPr>
        </w:p>
      </w:tc>
      <w:tc>
        <w:tcPr>
          <w:tcW w:w="5670" w:type="dxa"/>
          <w:gridSpan w:val="2"/>
        </w:tcPr>
        <w:p w14:paraId="3ACFBC96" w14:textId="77777777" w:rsidR="00A771E2" w:rsidRPr="009E5785" w:rsidRDefault="00A771E2" w:rsidP="00A771E2">
          <w:pPr>
            <w:pStyle w:val="En-tte"/>
            <w:rPr>
              <w:sz w:val="16"/>
              <w:szCs w:val="16"/>
            </w:rPr>
          </w:pPr>
        </w:p>
      </w:tc>
    </w:tr>
  </w:tbl>
  <w:p w14:paraId="21E04C98" w14:textId="64C614D0" w:rsidR="009D3248" w:rsidRPr="002E258A" w:rsidRDefault="00A771E2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195804" wp14:editId="6582CC1D">
              <wp:simplePos x="0" y="0"/>
              <wp:positionH relativeFrom="column">
                <wp:posOffset>-475686</wp:posOffset>
              </wp:positionH>
              <wp:positionV relativeFrom="paragraph">
                <wp:posOffset>-898241</wp:posOffset>
              </wp:positionV>
              <wp:extent cx="984738" cy="1093444"/>
              <wp:effectExtent l="0" t="0" r="6350" b="0"/>
              <wp:wrapNone/>
              <wp:docPr id="59681412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4738" cy="109344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465B9BD" w14:textId="02AB558A" w:rsidR="00A771E2" w:rsidRDefault="000057D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1FD33B4" wp14:editId="0DADD0C0">
                                <wp:extent cx="701120" cy="711200"/>
                                <wp:effectExtent l="0" t="0" r="3810" b="0"/>
                                <wp:docPr id="113267170" name="Image 2" descr="Une image contenant cercle, Graphique, graphisme, symbole&#10;&#10;Le contenu généré par l’IA peut être incorrect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3267170" name="Image 2" descr="Une image contenant cercle, Graphique, graphisme, symbole&#10;&#10;Le contenu généré par l’IA peut être incorrect.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02696" cy="71279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E195804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style="position:absolute;margin-left:-37.45pt;margin-top:-70.75pt;width:77.55pt;height:8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" fillcolor="white [3201]" stroked="f" strokeweight=".5pt">
              <v:textbox>
                <w:txbxContent>
                  <w:p w14:paraId="7465B9BD" w14:textId="02AB558A" w:rsidR="00A771E2" w:rsidRDefault="000057D7">
                    <w:r>
                      <w:rPr>
                        <w:noProof/>
                      </w:rPr>
                      <w:drawing>
                        <wp:inline distT="0" distB="0" distL="0" distR="0" wp14:anchorId="01FD33B4" wp14:editId="0DADD0C0">
                          <wp:extent cx="701120" cy="711200"/>
                          <wp:effectExtent l="0" t="0" r="3810" b="0"/>
                          <wp:docPr id="113267170" name="Image 2" descr="Une image contenant cercle, Graphique, graphisme, symbole&#10;&#10;Le contenu généré par l’IA peut être incorrect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3267170" name="Image 2" descr="Une image contenant cercle, Graphique, graphisme, symbole&#10;&#10;Le contenu généré par l’IA peut être incorrect.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02696" cy="7127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65C3B" w14:textId="77777777" w:rsidR="009D3248" w:rsidRDefault="009D32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32DF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76748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4C77C6"/>
    <w:multiLevelType w:val="multilevel"/>
    <w:tmpl w:val="FA005712"/>
    <w:lvl w:ilvl="0">
      <w:start w:val="1"/>
      <w:numFmt w:val="decimal"/>
      <w:pStyle w:val="Listenumros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8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06A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603197942">
    <w:abstractNumId w:val="17"/>
  </w:num>
  <w:num w:numId="2" w16cid:durableId="101652769">
    <w:abstractNumId w:val="17"/>
    <w:lvlOverride w:ilvl="0">
      <w:startOverride w:val="1"/>
    </w:lvlOverride>
  </w:num>
  <w:num w:numId="3" w16cid:durableId="1028724579">
    <w:abstractNumId w:val="17"/>
  </w:num>
  <w:num w:numId="4" w16cid:durableId="1167095102">
    <w:abstractNumId w:val="17"/>
    <w:lvlOverride w:ilvl="0">
      <w:startOverride w:val="1"/>
    </w:lvlOverride>
  </w:num>
  <w:num w:numId="5" w16cid:durableId="1531600731">
    <w:abstractNumId w:val="8"/>
  </w:num>
  <w:num w:numId="6" w16cid:durableId="449321281">
    <w:abstractNumId w:val="17"/>
    <w:lvlOverride w:ilvl="0">
      <w:startOverride w:val="1"/>
    </w:lvlOverride>
  </w:num>
  <w:num w:numId="7" w16cid:durableId="15794385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2048423">
    <w:abstractNumId w:val="10"/>
  </w:num>
  <w:num w:numId="9" w16cid:durableId="17350804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358308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7280928">
    <w:abstractNumId w:val="7"/>
  </w:num>
  <w:num w:numId="12" w16cid:durableId="1059016295">
    <w:abstractNumId w:val="6"/>
  </w:num>
  <w:num w:numId="13" w16cid:durableId="171073884">
    <w:abstractNumId w:val="5"/>
  </w:num>
  <w:num w:numId="14" w16cid:durableId="2087025703">
    <w:abstractNumId w:val="4"/>
  </w:num>
  <w:num w:numId="15" w16cid:durableId="1637106235">
    <w:abstractNumId w:val="3"/>
  </w:num>
  <w:num w:numId="16" w16cid:durableId="1636059034">
    <w:abstractNumId w:val="2"/>
  </w:num>
  <w:num w:numId="17" w16cid:durableId="408580242">
    <w:abstractNumId w:val="1"/>
  </w:num>
  <w:num w:numId="18" w16cid:durableId="1212113379">
    <w:abstractNumId w:val="0"/>
  </w:num>
  <w:num w:numId="19" w16cid:durableId="44647026">
    <w:abstractNumId w:val="18"/>
  </w:num>
  <w:num w:numId="20" w16cid:durableId="828330728">
    <w:abstractNumId w:val="9"/>
  </w:num>
  <w:num w:numId="21" w16cid:durableId="800416661">
    <w:abstractNumId w:val="16"/>
  </w:num>
  <w:num w:numId="22" w16cid:durableId="382367925">
    <w:abstractNumId w:val="15"/>
  </w:num>
  <w:num w:numId="23" w16cid:durableId="903104959">
    <w:abstractNumId w:val="14"/>
  </w:num>
  <w:num w:numId="24" w16cid:durableId="2054187543">
    <w:abstractNumId w:val="13"/>
  </w:num>
  <w:num w:numId="25" w16cid:durableId="419015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675089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112756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041734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9855160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613910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5125186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14549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555424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0705800">
    <w:abstractNumId w:val="11"/>
  </w:num>
  <w:num w:numId="35" w16cid:durableId="686753465">
    <w:abstractNumId w:val="12"/>
  </w:num>
  <w:num w:numId="36" w16cid:durableId="9166715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B0"/>
    <w:rsid w:val="000057D7"/>
    <w:rsid w:val="00016748"/>
    <w:rsid w:val="000631FF"/>
    <w:rsid w:val="0006567E"/>
    <w:rsid w:val="000760DB"/>
    <w:rsid w:val="00095063"/>
    <w:rsid w:val="000C002A"/>
    <w:rsid w:val="000E6C53"/>
    <w:rsid w:val="000F00E7"/>
    <w:rsid w:val="00100531"/>
    <w:rsid w:val="00133586"/>
    <w:rsid w:val="0016766E"/>
    <w:rsid w:val="00170063"/>
    <w:rsid w:val="00175643"/>
    <w:rsid w:val="001775BD"/>
    <w:rsid w:val="00185E88"/>
    <w:rsid w:val="001B2338"/>
    <w:rsid w:val="001C296E"/>
    <w:rsid w:val="002061A9"/>
    <w:rsid w:val="00214424"/>
    <w:rsid w:val="00217B64"/>
    <w:rsid w:val="00235579"/>
    <w:rsid w:val="00257FAA"/>
    <w:rsid w:val="00263938"/>
    <w:rsid w:val="0028383C"/>
    <w:rsid w:val="002A180C"/>
    <w:rsid w:val="002E258A"/>
    <w:rsid w:val="002E78EB"/>
    <w:rsid w:val="002F25A8"/>
    <w:rsid w:val="00327A71"/>
    <w:rsid w:val="003368AF"/>
    <w:rsid w:val="003407A9"/>
    <w:rsid w:val="00340DC9"/>
    <w:rsid w:val="00350645"/>
    <w:rsid w:val="00350BD5"/>
    <w:rsid w:val="003C04AB"/>
    <w:rsid w:val="00444F02"/>
    <w:rsid w:val="00465F15"/>
    <w:rsid w:val="00466BE6"/>
    <w:rsid w:val="00490CC6"/>
    <w:rsid w:val="004F05F9"/>
    <w:rsid w:val="005208DB"/>
    <w:rsid w:val="005509B2"/>
    <w:rsid w:val="005556DB"/>
    <w:rsid w:val="00581FBE"/>
    <w:rsid w:val="00585FAC"/>
    <w:rsid w:val="005C6D45"/>
    <w:rsid w:val="005D58F7"/>
    <w:rsid w:val="00617D63"/>
    <w:rsid w:val="00643D1A"/>
    <w:rsid w:val="00646E33"/>
    <w:rsid w:val="00674588"/>
    <w:rsid w:val="006A7B57"/>
    <w:rsid w:val="006D44C5"/>
    <w:rsid w:val="006D5E17"/>
    <w:rsid w:val="00713672"/>
    <w:rsid w:val="0073562D"/>
    <w:rsid w:val="007B07DE"/>
    <w:rsid w:val="007C7C08"/>
    <w:rsid w:val="008270A2"/>
    <w:rsid w:val="00853F77"/>
    <w:rsid w:val="00885CE1"/>
    <w:rsid w:val="008907FF"/>
    <w:rsid w:val="008B696C"/>
    <w:rsid w:val="008B6BEE"/>
    <w:rsid w:val="008C04E8"/>
    <w:rsid w:val="008E32D5"/>
    <w:rsid w:val="008F1F28"/>
    <w:rsid w:val="008F78D7"/>
    <w:rsid w:val="00915367"/>
    <w:rsid w:val="009200C1"/>
    <w:rsid w:val="00930DBC"/>
    <w:rsid w:val="00935664"/>
    <w:rsid w:val="00980085"/>
    <w:rsid w:val="00997127"/>
    <w:rsid w:val="009D216F"/>
    <w:rsid w:val="009D3248"/>
    <w:rsid w:val="009E5785"/>
    <w:rsid w:val="00A1148B"/>
    <w:rsid w:val="00A254AE"/>
    <w:rsid w:val="00A27938"/>
    <w:rsid w:val="00A45460"/>
    <w:rsid w:val="00A65E8A"/>
    <w:rsid w:val="00A771E2"/>
    <w:rsid w:val="00A87896"/>
    <w:rsid w:val="00AA1AC5"/>
    <w:rsid w:val="00AB6A4D"/>
    <w:rsid w:val="00AC1EE7"/>
    <w:rsid w:val="00B650C6"/>
    <w:rsid w:val="00B703C8"/>
    <w:rsid w:val="00BA63C2"/>
    <w:rsid w:val="00BA727B"/>
    <w:rsid w:val="00BC6939"/>
    <w:rsid w:val="00BD0BC4"/>
    <w:rsid w:val="00BE1875"/>
    <w:rsid w:val="00BE45C8"/>
    <w:rsid w:val="00BF2331"/>
    <w:rsid w:val="00BF7463"/>
    <w:rsid w:val="00C30889"/>
    <w:rsid w:val="00C85640"/>
    <w:rsid w:val="00C90A2E"/>
    <w:rsid w:val="00CB05B7"/>
    <w:rsid w:val="00CB65D0"/>
    <w:rsid w:val="00CC5861"/>
    <w:rsid w:val="00CE2667"/>
    <w:rsid w:val="00D30B81"/>
    <w:rsid w:val="00D3649E"/>
    <w:rsid w:val="00D63573"/>
    <w:rsid w:val="00D65327"/>
    <w:rsid w:val="00DA5A48"/>
    <w:rsid w:val="00DA6D36"/>
    <w:rsid w:val="00DA71E6"/>
    <w:rsid w:val="00DF0FDA"/>
    <w:rsid w:val="00E117AE"/>
    <w:rsid w:val="00E118B0"/>
    <w:rsid w:val="00E142DA"/>
    <w:rsid w:val="00E16F51"/>
    <w:rsid w:val="00E334A8"/>
    <w:rsid w:val="00E63727"/>
    <w:rsid w:val="00E726FC"/>
    <w:rsid w:val="00EB0B6E"/>
    <w:rsid w:val="00EE70C1"/>
    <w:rsid w:val="00EF2E3B"/>
    <w:rsid w:val="00F169E1"/>
    <w:rsid w:val="00F31C22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163CAE"/>
  <w15:chartTrackingRefBased/>
  <w15:docId w15:val="{3E12572A-EB06-486B-9C4F-12852636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58A"/>
    <w:rPr>
      <w:rFonts w:ascii="Segoe UI" w:hAnsi="Segoe UI" w:cs="Segoe UI"/>
    </w:rPr>
  </w:style>
  <w:style w:type="paragraph" w:styleId="Titre1">
    <w:name w:val="heading 1"/>
    <w:basedOn w:val="Normal"/>
    <w:link w:val="Titre1Car"/>
    <w:uiPriority w:val="1"/>
    <w:qFormat/>
    <w:rsid w:val="000631F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b/>
      <w:color w:val="3B3838" w:themeColor="background2" w:themeShade="40"/>
      <w:kern w:val="28"/>
      <w:sz w:val="56"/>
      <w:szCs w:val="52"/>
      <w14:ligatures w14:val="standard"/>
      <w14:numForm w14:val="oldStyle"/>
    </w:rPr>
  </w:style>
  <w:style w:type="paragraph" w:styleId="Titre2">
    <w:name w:val="heading 2"/>
    <w:basedOn w:val="Normal"/>
    <w:next w:val="Normal"/>
    <w:link w:val="Titre2Car"/>
    <w:uiPriority w:val="1"/>
    <w:unhideWhenUsed/>
    <w:qFormat/>
    <w:rsid w:val="00581FBE"/>
    <w:pPr>
      <w:keepNext/>
      <w:keepLines/>
      <w:pageBreakBefore/>
      <w:shd w:val="clear" w:color="auto" w:fill="323E4F" w:themeFill="text2" w:themeFillShade="BF"/>
      <w:spacing w:before="120"/>
      <w:outlineLvl w:val="1"/>
    </w:pPr>
    <w:rPr>
      <w:rFonts w:ascii="Segoe UI Light" w:eastAsiaTheme="majorEastAsia" w:hAnsi="Segoe UI Light" w:cs="Segoe UI Light"/>
      <w:b/>
      <w:color w:val="FFFFFF" w:themeColor="background1"/>
      <w:sz w:val="44"/>
      <w:szCs w:val="26"/>
    </w:rPr>
  </w:style>
  <w:style w:type="paragraph" w:styleId="Titre3">
    <w:name w:val="heading 3"/>
    <w:basedOn w:val="Normal"/>
    <w:next w:val="Normal"/>
    <w:link w:val="Titre3Car"/>
    <w:uiPriority w:val="1"/>
    <w:unhideWhenUsed/>
    <w:qFormat/>
    <w:rsid w:val="000631FF"/>
    <w:pPr>
      <w:keepNext/>
      <w:keepLines/>
      <w:spacing w:before="240"/>
      <w:ind w:left="227"/>
      <w:outlineLvl w:val="2"/>
    </w:pPr>
    <w:rPr>
      <w:rFonts w:ascii="Segoe UI Light" w:eastAsiaTheme="majorEastAsia" w:hAnsi="Segoe UI Light" w:cs="Segoe UI Light"/>
      <w:b/>
      <w:color w:val="1F4D78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1"/>
    <w:unhideWhenUsed/>
    <w:qFormat/>
    <w:rsid w:val="000E6C53"/>
    <w:pPr>
      <w:keepNext/>
      <w:keepLines/>
      <w:shd w:val="clear" w:color="auto" w:fill="BDD6EE" w:themeFill="accent1" w:themeFillTint="66"/>
      <w:spacing w:after="120"/>
      <w:ind w:left="3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  <w:sz w:val="24"/>
    </w:rPr>
  </w:style>
  <w:style w:type="paragraph" w:styleId="Titre5">
    <w:name w:val="heading 5"/>
    <w:basedOn w:val="Normal"/>
    <w:next w:val="Normal"/>
    <w:link w:val="Titre5Car"/>
    <w:uiPriority w:val="1"/>
    <w:unhideWhenUsed/>
    <w:qFormat/>
    <w:rsid w:val="000E6C53"/>
    <w:pPr>
      <w:keepNext/>
      <w:keepLines/>
      <w:shd w:val="clear" w:color="auto" w:fill="DEEAF6" w:themeFill="accent1" w:themeFillTint="33"/>
      <w:spacing w:before="80" w:after="80"/>
      <w:ind w:left="454"/>
      <w:outlineLvl w:val="4"/>
    </w:pPr>
    <w:rPr>
      <w:rFonts w:ascii="Segoe UI Light" w:eastAsiaTheme="majorEastAsia" w:hAnsi="Segoe UI Light" w:cs="Segoe UI Light"/>
      <w:b/>
      <w:color w:val="222A35" w:themeColor="text2" w:themeShade="80"/>
    </w:rPr>
  </w:style>
  <w:style w:type="paragraph" w:styleId="Titre6">
    <w:name w:val="heading 6"/>
    <w:basedOn w:val="Normal"/>
    <w:next w:val="Normal"/>
    <w:link w:val="Titre6Car"/>
    <w:uiPriority w:val="1"/>
    <w:semiHidden/>
    <w:unhideWhenUsed/>
    <w:qFormat/>
    <w:rsid w:val="002E258A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1"/>
    <w:semiHidden/>
    <w:unhideWhenUsed/>
    <w:qFormat/>
    <w:rsid w:val="002E258A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1"/>
    <w:semiHidden/>
    <w:unhideWhenUsed/>
    <w:qFormat/>
    <w:rsid w:val="002E258A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1"/>
    <w:semiHidden/>
    <w:unhideWhenUsed/>
    <w:qFormat/>
    <w:rsid w:val="002E258A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0631FF"/>
    <w:rPr>
      <w:rFonts w:ascii="Segoe UI Light" w:eastAsiaTheme="majorEastAsia" w:hAnsi="Segoe UI Light" w:cs="Segoe UI Light"/>
      <w:b/>
      <w:color w:val="3B3838" w:themeColor="background2" w:themeShade="40"/>
      <w:kern w:val="28"/>
      <w:sz w:val="56"/>
      <w:szCs w:val="52"/>
      <w14:ligatures w14:val="standard"/>
      <w14:numForm w14:val="oldStyle"/>
    </w:rPr>
  </w:style>
  <w:style w:type="paragraph" w:styleId="En-tte">
    <w:name w:val="header"/>
    <w:basedOn w:val="Normal"/>
    <w:link w:val="En-tteCar"/>
    <w:uiPriority w:val="99"/>
    <w:unhideWhenUsed/>
    <w:rsid w:val="002E258A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2E258A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Listenumros">
    <w:name w:val="List Number"/>
    <w:basedOn w:val="Normal"/>
    <w:link w:val="ListenumrosCar"/>
    <w:uiPriority w:val="10"/>
    <w:qFormat/>
    <w:rsid w:val="002E258A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re">
    <w:name w:val="Title"/>
    <w:basedOn w:val="Normal"/>
    <w:link w:val="TitreCar"/>
    <w:uiPriority w:val="10"/>
    <w:qFormat/>
    <w:rsid w:val="002E258A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258A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258A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ous-titreCar">
    <w:name w:val="Sous-titre Car"/>
    <w:basedOn w:val="Policepardfaut"/>
    <w:link w:val="Sous-titre"/>
    <w:uiPriority w:val="11"/>
    <w:rsid w:val="002E258A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Grilledutableau">
    <w:name w:val="Table Grid"/>
    <w:aliases w:val="Grille du tableau-G2S-1"/>
    <w:basedOn w:val="TableauNormal"/>
    <w:uiPriority w:val="39"/>
    <w:rsid w:val="000057D7"/>
    <w:pPr>
      <w:keepNext/>
      <w:keepLines/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b/>
      </w:rPr>
      <w:tblPr/>
      <w:tcPr>
        <w:shd w:val="clear" w:color="auto" w:fill="D9D9D9" w:themeFill="background1" w:themeFillShade="D9"/>
      </w:tcPr>
    </w:tblStylePr>
  </w:style>
  <w:style w:type="paragraph" w:styleId="NormalWeb">
    <w:name w:val="Normal (Web)"/>
    <w:basedOn w:val="Normal"/>
    <w:uiPriority w:val="99"/>
    <w:semiHidden/>
    <w:unhideWhenUsed/>
    <w:rsid w:val="002E258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2E258A"/>
    <w:pPr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258A"/>
    <w:rPr>
      <w:rFonts w:ascii="Segoe UI" w:hAnsi="Segoe UI" w:cs="Segoe UI"/>
    </w:rPr>
  </w:style>
  <w:style w:type="character" w:styleId="Accentuationintense">
    <w:name w:val="Intense Emphasis"/>
    <w:basedOn w:val="Policepardfaut"/>
    <w:uiPriority w:val="21"/>
    <w:qFormat/>
    <w:rsid w:val="002E258A"/>
    <w:rPr>
      <w:rFonts w:ascii="Segoe UI" w:hAnsi="Segoe UI" w:cs="Segoe UI"/>
      <w:i/>
      <w:iCs/>
      <w:color w:val="2B579A" w:themeColor="accent5"/>
    </w:rPr>
  </w:style>
  <w:style w:type="table" w:styleId="TableauGrille1Clair">
    <w:name w:val="Grid Table 1 Light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5">
    <w:name w:val="Grid Table 4 Accent 5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1Clair-Accentuation6">
    <w:name w:val="Grid Table 1 Light Accent 6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">
    <w:name w:val="Grid Table 5 Dark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2Car">
    <w:name w:val="Titre 2 Car"/>
    <w:basedOn w:val="Policepardfaut"/>
    <w:link w:val="Titre2"/>
    <w:uiPriority w:val="1"/>
    <w:rsid w:val="00581FBE"/>
    <w:rPr>
      <w:rFonts w:ascii="Segoe UI Light" w:eastAsiaTheme="majorEastAsia" w:hAnsi="Segoe UI Light" w:cs="Segoe UI Light"/>
      <w:b/>
      <w:color w:val="FFFFFF" w:themeColor="background1"/>
      <w:sz w:val="44"/>
      <w:szCs w:val="26"/>
      <w:shd w:val="clear" w:color="auto" w:fill="323E4F" w:themeFill="text2" w:themeFillShade="BF"/>
    </w:rPr>
  </w:style>
  <w:style w:type="paragraph" w:styleId="Listepuces">
    <w:name w:val="List Bullet"/>
    <w:basedOn w:val="Normal"/>
    <w:uiPriority w:val="11"/>
    <w:qFormat/>
    <w:rsid w:val="002E258A"/>
    <w:pPr>
      <w:numPr>
        <w:numId w:val="5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E258A"/>
    <w:pPr>
      <w:spacing w:line="240" w:lineRule="auto"/>
    </w:pPr>
    <w:rPr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258A"/>
    <w:rPr>
      <w:rFonts w:ascii="Segoe UI" w:hAnsi="Segoe UI" w:cs="Segoe UI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2E258A"/>
    <w:rPr>
      <w:rFonts w:ascii="Segoe UI" w:hAnsi="Segoe UI" w:cs="Segoe UI"/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E258A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E258A"/>
    <w:rPr>
      <w:rFonts w:ascii="Segoe UI" w:hAnsi="Segoe UI" w:cs="Segoe UI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E25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E258A"/>
    <w:rPr>
      <w:rFonts w:ascii="Segoe UI" w:hAnsi="Segoe UI" w:cs="Segoe UI"/>
      <w:b/>
      <w:bCs/>
      <w:szCs w:val="20"/>
    </w:rPr>
  </w:style>
  <w:style w:type="character" w:styleId="Lienhypertexte">
    <w:name w:val="Hyperlink"/>
    <w:basedOn w:val="Policepardfaut"/>
    <w:uiPriority w:val="99"/>
    <w:unhideWhenUsed/>
    <w:rsid w:val="002E258A"/>
    <w:rPr>
      <w:rFonts w:ascii="Segoe UI" w:hAnsi="Segoe UI" w:cs="Segoe UI"/>
      <w:color w:val="0563C1" w:themeColor="hyperlink"/>
      <w:u w:val="single"/>
    </w:rPr>
  </w:style>
  <w:style w:type="character" w:styleId="Accentuation">
    <w:name w:val="Emphasis"/>
    <w:basedOn w:val="Policepardfaut"/>
    <w:uiPriority w:val="3"/>
    <w:qFormat/>
    <w:rsid w:val="002E258A"/>
    <w:rPr>
      <w:rFonts w:ascii="Segoe UI" w:hAnsi="Segoe UI" w:cs="Segoe UI"/>
      <w:b/>
      <w:iCs/>
      <w:color w:val="BF0000" w:themeColor="accent2" w:themeShade="BF"/>
    </w:rPr>
  </w:style>
  <w:style w:type="character" w:styleId="Lienhypertextesuivivisit">
    <w:name w:val="FollowedHyperlink"/>
    <w:basedOn w:val="Policepardfaut"/>
    <w:uiPriority w:val="99"/>
    <w:semiHidden/>
    <w:unhideWhenUsed/>
    <w:rsid w:val="002E258A"/>
    <w:rPr>
      <w:rFonts w:ascii="Segoe UI" w:hAnsi="Segoe UI" w:cs="Segoe UI"/>
      <w:color w:val="954F72" w:themeColor="followedHyperlink"/>
      <w:u w:val="single"/>
    </w:rPr>
  </w:style>
  <w:style w:type="character" w:styleId="lev">
    <w:name w:val="Strong"/>
    <w:basedOn w:val="Policepardfaut"/>
    <w:uiPriority w:val="4"/>
    <w:qFormat/>
    <w:rsid w:val="002E258A"/>
    <w:rPr>
      <w:rFonts w:ascii="Segoe UI" w:hAnsi="Segoe UI" w:cs="Segoe UI"/>
      <w:b/>
      <w:bCs/>
      <w:color w:val="2B579A" w:themeColor="accent5"/>
    </w:rPr>
  </w:style>
  <w:style w:type="paragraph" w:customStyle="1" w:styleId="En-tte1-Sautdepage">
    <w:name w:val="En-tête 1 - Saut de page"/>
    <w:basedOn w:val="Normal"/>
    <w:uiPriority w:val="6"/>
    <w:qFormat/>
    <w:rsid w:val="002E258A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2E258A"/>
    <w:pPr>
      <w:spacing w:before="240"/>
    </w:pPr>
    <w:rPr>
      <w:noProof/>
    </w:rPr>
  </w:style>
  <w:style w:type="paragraph" w:styleId="Bibliographie">
    <w:name w:val="Bibliography"/>
    <w:basedOn w:val="Normal"/>
    <w:next w:val="Normal"/>
    <w:uiPriority w:val="37"/>
    <w:semiHidden/>
    <w:unhideWhenUsed/>
    <w:rsid w:val="002E258A"/>
  </w:style>
  <w:style w:type="paragraph" w:styleId="En-ttedetabledesmatires">
    <w:name w:val="TOC Heading"/>
    <w:basedOn w:val="Titre1"/>
    <w:next w:val="Normal"/>
    <w:uiPriority w:val="39"/>
    <w:unhideWhenUsed/>
    <w:qFormat/>
    <w:rsid w:val="002E258A"/>
    <w:pPr>
      <w:outlineLvl w:val="9"/>
    </w:pPr>
    <w:rPr>
      <w:kern w:val="0"/>
      <w:szCs w:val="32"/>
      <w14:ligatures w14:val="none"/>
      <w14:numForm w14:val="default"/>
    </w:rPr>
  </w:style>
  <w:style w:type="paragraph" w:styleId="Normalcentr">
    <w:name w:val="Block Text"/>
    <w:basedOn w:val="Normal"/>
    <w:uiPriority w:val="99"/>
    <w:semiHidden/>
    <w:unhideWhenUsed/>
    <w:rsid w:val="002E258A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2E258A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2E258A"/>
    <w:rPr>
      <w:rFonts w:ascii="Segoe UI" w:hAnsi="Segoe UI" w:cs="Segoe UI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2E258A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2E258A"/>
    <w:rPr>
      <w:rFonts w:ascii="Segoe UI" w:hAnsi="Segoe UI" w:cs="Segoe UI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2E258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2E258A"/>
    <w:rPr>
      <w:rFonts w:ascii="Segoe UI" w:hAnsi="Segoe UI" w:cs="Segoe UI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2E258A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2E258A"/>
    <w:rPr>
      <w:rFonts w:ascii="Segoe UI" w:hAnsi="Segoe UI" w:cs="Segoe UI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2E258A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2E258A"/>
    <w:rPr>
      <w:rFonts w:ascii="Segoe UI" w:hAnsi="Segoe UI" w:cs="Segoe UI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2E258A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2E258A"/>
    <w:rPr>
      <w:rFonts w:ascii="Segoe UI" w:hAnsi="Segoe UI" w:cs="Segoe U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2E258A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2E258A"/>
    <w:rPr>
      <w:rFonts w:ascii="Segoe UI" w:hAnsi="Segoe UI" w:cs="Segoe UI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2E258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2E258A"/>
    <w:rPr>
      <w:rFonts w:ascii="Segoe UI" w:hAnsi="Segoe UI" w:cs="Segoe UI"/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2E258A"/>
    <w:rPr>
      <w:rFonts w:ascii="Segoe UI" w:hAnsi="Segoe UI" w:cs="Segoe UI"/>
      <w:b/>
      <w:bCs/>
      <w:i/>
      <w:iCs/>
      <w:spacing w:val="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E258A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2E258A"/>
    <w:rPr>
      <w:rFonts w:ascii="Segoe UI" w:hAnsi="Segoe UI" w:cs="Segoe UI"/>
    </w:rPr>
  </w:style>
  <w:style w:type="table" w:styleId="Grillecouleur">
    <w:name w:val="Colorful Grid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2E258A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E258A"/>
  </w:style>
  <w:style w:type="character" w:customStyle="1" w:styleId="DateCar">
    <w:name w:val="Date Car"/>
    <w:basedOn w:val="Policepardfaut"/>
    <w:link w:val="Date"/>
    <w:uiPriority w:val="99"/>
    <w:semiHidden/>
    <w:rsid w:val="002E258A"/>
    <w:rPr>
      <w:rFonts w:ascii="Segoe UI" w:hAnsi="Segoe UI" w:cs="Segoe UI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E258A"/>
    <w:pPr>
      <w:spacing w:before="0" w:line="240" w:lineRule="auto"/>
    </w:pPr>
    <w:rPr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E258A"/>
    <w:rPr>
      <w:rFonts w:ascii="Segoe UI" w:hAnsi="Segoe UI" w:cs="Segoe UI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2E258A"/>
    <w:pPr>
      <w:spacing w:before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2E258A"/>
    <w:rPr>
      <w:rFonts w:ascii="Segoe UI" w:hAnsi="Segoe UI" w:cs="Segoe UI"/>
    </w:rPr>
  </w:style>
  <w:style w:type="character" w:styleId="Appeldenotedefin">
    <w:name w:val="endnote reference"/>
    <w:basedOn w:val="Policepardfau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E258A"/>
    <w:pPr>
      <w:spacing w:before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E258A"/>
    <w:rPr>
      <w:rFonts w:ascii="Segoe UI" w:hAnsi="Segoe UI" w:cs="Segoe UI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2E258A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E258A"/>
    <w:rPr>
      <w:rFonts w:ascii="Segoe UI" w:hAnsi="Segoe UI" w:cs="Segoe UI"/>
      <w:vertAlign w:val="superscript"/>
    </w:rPr>
  </w:style>
  <w:style w:type="paragraph" w:styleId="Notedebasdepage">
    <w:name w:val="footnote text"/>
    <w:basedOn w:val="Normal"/>
    <w:link w:val="NotedebasdepageCar"/>
    <w:uiPriority w:val="99"/>
    <w:unhideWhenUsed/>
    <w:rsid w:val="002E258A"/>
    <w:pPr>
      <w:spacing w:before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2E258A"/>
    <w:rPr>
      <w:rFonts w:ascii="Segoe UI" w:hAnsi="Segoe UI" w:cs="Segoe UI"/>
      <w:szCs w:val="20"/>
    </w:rPr>
  </w:style>
  <w:style w:type="table" w:styleId="TableauGrille1Clair-Accentuation2">
    <w:name w:val="Grid Table 1 Light Accent 2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3">
    <w:name w:val="Grid Table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eauGrille4-Accentuation1">
    <w:name w:val="Grid Table 4 Accent 1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4-Accentuation6">
    <w:name w:val="Grid Table 4 Accent 6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itre3Car">
    <w:name w:val="Titre 3 Car"/>
    <w:basedOn w:val="Policepardfaut"/>
    <w:link w:val="Titre3"/>
    <w:uiPriority w:val="1"/>
    <w:rsid w:val="000631FF"/>
    <w:rPr>
      <w:rFonts w:ascii="Segoe UI Light" w:eastAsiaTheme="majorEastAsia" w:hAnsi="Segoe UI Light" w:cs="Segoe UI Light"/>
      <w:b/>
      <w:color w:val="1F4D78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1"/>
    <w:rsid w:val="000E6C53"/>
    <w:rPr>
      <w:rFonts w:ascii="Segoe UI Light" w:eastAsiaTheme="majorEastAsia" w:hAnsi="Segoe UI Light" w:cs="Segoe UI Light"/>
      <w:i/>
      <w:iCs/>
      <w:color w:val="1F4E79" w:themeColor="accent1" w:themeShade="80"/>
      <w:sz w:val="24"/>
      <w:shd w:val="clear" w:color="auto" w:fill="BDD6EE" w:themeFill="accent1" w:themeFillTint="66"/>
    </w:rPr>
  </w:style>
  <w:style w:type="character" w:customStyle="1" w:styleId="Titre5Car">
    <w:name w:val="Titre 5 Car"/>
    <w:basedOn w:val="Policepardfaut"/>
    <w:link w:val="Titre5"/>
    <w:uiPriority w:val="1"/>
    <w:rsid w:val="000E6C53"/>
    <w:rPr>
      <w:rFonts w:ascii="Segoe UI Light" w:eastAsiaTheme="majorEastAsia" w:hAnsi="Segoe UI Light" w:cs="Segoe UI Light"/>
      <w:b/>
      <w:color w:val="222A35" w:themeColor="text2" w:themeShade="80"/>
      <w:shd w:val="clear" w:color="auto" w:fill="DEEAF6" w:themeFill="accent1" w:themeFillTint="33"/>
    </w:rPr>
  </w:style>
  <w:style w:type="character" w:customStyle="1" w:styleId="Titre6Car">
    <w:name w:val="Titre 6 Car"/>
    <w:basedOn w:val="Policepardfaut"/>
    <w:link w:val="Titre6"/>
    <w:uiPriority w:val="1"/>
    <w:semiHidden/>
    <w:rsid w:val="002E258A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1"/>
    <w:semiHidden/>
    <w:rsid w:val="002E258A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1"/>
    <w:semiHidden/>
    <w:rsid w:val="002E258A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1"/>
    <w:semiHidden/>
    <w:rsid w:val="002E258A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onymeHTML">
    <w:name w:val="HTML Acronym"/>
    <w:basedOn w:val="Policepardfaut"/>
    <w:uiPriority w:val="99"/>
    <w:semiHidden/>
    <w:unhideWhenUsed/>
    <w:rsid w:val="002E258A"/>
    <w:rPr>
      <w:rFonts w:ascii="Segoe UI" w:hAnsi="Segoe UI" w:cs="Segoe UI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2E258A"/>
    <w:pPr>
      <w:spacing w:before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2E258A"/>
    <w:rPr>
      <w:rFonts w:ascii="Segoe UI" w:hAnsi="Segoe UI" w:cs="Segoe U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CodeHTML">
    <w:name w:val="HTML Code"/>
    <w:basedOn w:val="Policepardfau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2E258A"/>
    <w:rPr>
      <w:rFonts w:ascii="Segoe UI" w:hAnsi="Segoe UI" w:cs="Segoe UI"/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E258A"/>
    <w:pPr>
      <w:spacing w:before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E258A"/>
    <w:rPr>
      <w:rFonts w:ascii="Consolas" w:hAnsi="Consolas" w:cs="Segoe UI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2E258A"/>
    <w:rPr>
      <w:rFonts w:ascii="Consolas" w:hAnsi="Consolas" w:cs="Segoe UI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2E258A"/>
    <w:rPr>
      <w:rFonts w:ascii="Consolas" w:hAnsi="Consolas" w:cs="Segoe UI"/>
      <w:sz w:val="22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2E258A"/>
    <w:rPr>
      <w:rFonts w:ascii="Segoe UI" w:hAnsi="Segoe UI" w:cs="Segoe UI"/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E258A"/>
    <w:pPr>
      <w:spacing w:before="0" w:line="240" w:lineRule="auto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2E258A"/>
    <w:rPr>
      <w:rFonts w:ascii="Segoe UI Light" w:eastAsiaTheme="majorEastAsia" w:hAnsi="Segoe UI Light" w:cs="Segoe UI Light"/>
      <w:b/>
      <w:bCs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2E258A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2E258A"/>
    <w:rPr>
      <w:rFonts w:ascii="Segoe UI" w:hAnsi="Segoe UI" w:cs="Segoe UI"/>
      <w:i/>
      <w:iCs/>
      <w:color w:val="1F4E79" w:themeColor="accent1" w:themeShade="80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2E258A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illeclaire">
    <w:name w:val="Light Grid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2E258A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unhideWhenUsed/>
    <w:rsid w:val="002E258A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2E258A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2E258A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2E258A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2E258A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2E258A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2E258A"/>
    <w:rPr>
      <w:rFonts w:ascii="Segoe UI" w:hAnsi="Segoe UI" w:cs="Segoe UI"/>
    </w:rPr>
  </w:style>
  <w:style w:type="paragraph" w:styleId="Liste">
    <w:name w:val="List"/>
    <w:basedOn w:val="Normal"/>
    <w:uiPriority w:val="99"/>
    <w:semiHidden/>
    <w:unhideWhenUsed/>
    <w:rsid w:val="002E258A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2E258A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2E258A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2E258A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2E258A"/>
    <w:pPr>
      <w:ind w:left="1800" w:hanging="360"/>
      <w:contextualSpacing/>
    </w:pPr>
  </w:style>
  <w:style w:type="paragraph" w:styleId="Listepuces2">
    <w:name w:val="List Bullet 2"/>
    <w:basedOn w:val="Normal"/>
    <w:uiPriority w:val="99"/>
    <w:semiHidden/>
    <w:unhideWhenUsed/>
    <w:rsid w:val="002E258A"/>
    <w:pPr>
      <w:numPr>
        <w:numId w:val="11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2E258A"/>
    <w:pPr>
      <w:numPr>
        <w:numId w:val="12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2E258A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2E258A"/>
    <w:pPr>
      <w:numPr>
        <w:numId w:val="14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2E258A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2E258A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2E258A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2E258A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2E258A"/>
    <w:pPr>
      <w:spacing w:after="120"/>
      <w:ind w:left="1800"/>
      <w:contextualSpacing/>
    </w:pPr>
  </w:style>
  <w:style w:type="paragraph" w:styleId="Listenumros2">
    <w:name w:val="List Number 2"/>
    <w:basedOn w:val="Normal"/>
    <w:uiPriority w:val="99"/>
    <w:semiHidden/>
    <w:unhideWhenUsed/>
    <w:rsid w:val="002E258A"/>
    <w:pPr>
      <w:numPr>
        <w:numId w:val="15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2E258A"/>
    <w:pPr>
      <w:numPr>
        <w:numId w:val="16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2E258A"/>
    <w:pPr>
      <w:numPr>
        <w:numId w:val="17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2E258A"/>
    <w:pPr>
      <w:numPr>
        <w:numId w:val="18"/>
      </w:numPr>
      <w:contextualSpacing/>
    </w:pPr>
  </w:style>
  <w:style w:type="paragraph" w:styleId="Paragraphedeliste">
    <w:name w:val="List Paragraph"/>
    <w:basedOn w:val="Normal"/>
    <w:uiPriority w:val="34"/>
    <w:unhideWhenUsed/>
    <w:qFormat/>
    <w:rsid w:val="002E258A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2">
    <w:name w:val="List Table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3">
    <w:name w:val="List Table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2E258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2E258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2E258A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2E258A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2E258A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2E258A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2E258A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2E258A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2E25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2E258A"/>
    <w:rPr>
      <w:rFonts w:ascii="Consolas" w:hAnsi="Consolas" w:cs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2E258A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2E258A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2E258A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2E25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2E258A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rsid w:val="002E258A"/>
    <w:pPr>
      <w:spacing w:before="0" w:line="240" w:lineRule="auto"/>
    </w:pPr>
    <w:rPr>
      <w:rFonts w:ascii="Segoe UI" w:hAnsi="Segoe UI" w:cs="Segoe UI"/>
    </w:rPr>
  </w:style>
  <w:style w:type="paragraph" w:styleId="Retraitnormal">
    <w:name w:val="Normal Indent"/>
    <w:basedOn w:val="Normal"/>
    <w:uiPriority w:val="99"/>
    <w:semiHidden/>
    <w:unhideWhenUsed/>
    <w:rsid w:val="002E258A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2E258A"/>
    <w:pPr>
      <w:spacing w:before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2E258A"/>
    <w:rPr>
      <w:rFonts w:ascii="Segoe UI" w:hAnsi="Segoe UI" w:cs="Segoe UI"/>
    </w:rPr>
  </w:style>
  <w:style w:type="character" w:styleId="Numrodepage">
    <w:name w:val="page number"/>
    <w:basedOn w:val="Policepardfaut"/>
    <w:uiPriority w:val="99"/>
    <w:semiHidden/>
    <w:unhideWhenUsed/>
    <w:rsid w:val="002E258A"/>
    <w:rPr>
      <w:rFonts w:ascii="Segoe UI" w:hAnsi="Segoe UI" w:cs="Segoe UI"/>
    </w:rPr>
  </w:style>
  <w:style w:type="character" w:styleId="Textedelespacerserv">
    <w:name w:val="Placeholder Text"/>
    <w:basedOn w:val="Policepardfaut"/>
    <w:uiPriority w:val="99"/>
    <w:semiHidden/>
    <w:rsid w:val="002E258A"/>
    <w:rPr>
      <w:rFonts w:ascii="Segoe UI" w:hAnsi="Segoe UI" w:cs="Segoe UI"/>
      <w:color w:val="595959" w:themeColor="text1" w:themeTint="A6"/>
    </w:rPr>
  </w:style>
  <w:style w:type="table" w:styleId="Tableausimple1">
    <w:name w:val="Plain Table 1"/>
    <w:basedOn w:val="TableauNormal"/>
    <w:uiPriority w:val="41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2E258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2E258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2E258A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2E258A"/>
    <w:rPr>
      <w:rFonts w:ascii="Consolas" w:hAnsi="Consolas" w:cs="Consolas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2E258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2E258A"/>
    <w:rPr>
      <w:rFonts w:ascii="Segoe UI" w:hAnsi="Segoe UI" w:cs="Segoe UI"/>
      <w:i/>
      <w:iCs/>
      <w:color w:val="404040" w:themeColor="text1" w:themeTint="BF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2E258A"/>
  </w:style>
  <w:style w:type="character" w:customStyle="1" w:styleId="SalutationsCar">
    <w:name w:val="Salutations Car"/>
    <w:basedOn w:val="Policepardfaut"/>
    <w:link w:val="Salutations"/>
    <w:uiPriority w:val="99"/>
    <w:semiHidden/>
    <w:rsid w:val="002E258A"/>
    <w:rPr>
      <w:rFonts w:ascii="Segoe UI" w:hAnsi="Segoe UI" w:cs="Segoe UI"/>
    </w:rPr>
  </w:style>
  <w:style w:type="paragraph" w:styleId="Signature">
    <w:name w:val="Signature"/>
    <w:basedOn w:val="Normal"/>
    <w:link w:val="SignatureCar"/>
    <w:uiPriority w:val="99"/>
    <w:semiHidden/>
    <w:unhideWhenUsed/>
    <w:rsid w:val="002E258A"/>
    <w:pPr>
      <w:spacing w:before="0" w:line="240" w:lineRule="auto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2E258A"/>
    <w:rPr>
      <w:rFonts w:ascii="Segoe UI" w:hAnsi="Segoe UI" w:cs="Segoe UI"/>
    </w:rPr>
  </w:style>
  <w:style w:type="character" w:styleId="Accentuationlgre">
    <w:name w:val="Subtle Emphasis"/>
    <w:basedOn w:val="Policepardfaut"/>
    <w:uiPriority w:val="19"/>
    <w:unhideWhenUsed/>
    <w:qFormat/>
    <w:rsid w:val="002E258A"/>
    <w:rPr>
      <w:rFonts w:ascii="Segoe UI" w:hAnsi="Segoe UI" w:cs="Segoe UI"/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2E258A"/>
    <w:rPr>
      <w:rFonts w:ascii="Segoe UI" w:hAnsi="Segoe UI" w:cs="Segoe UI"/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2E258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2E258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2E258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2E25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2E258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2E25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2E258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2E258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2E258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2E258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2E258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2E258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2E25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2E258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2E258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2E258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2E258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2E258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2E258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2E258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2E25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2E25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2E258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2E25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2E25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2E258A"/>
    <w:pPr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2E258A"/>
  </w:style>
  <w:style w:type="table" w:styleId="Tableauprofessionnel">
    <w:name w:val="Table Professional"/>
    <w:basedOn w:val="TableauNormal"/>
    <w:uiPriority w:val="99"/>
    <w:semiHidden/>
    <w:unhideWhenUsed/>
    <w:rsid w:val="002E258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2E258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2E25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2E258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2E25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2E25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2E25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2E258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2E258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2E258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2E258A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unhideWhenUsed/>
    <w:rsid w:val="002E258A"/>
    <w:pPr>
      <w:spacing w:after="100"/>
    </w:pPr>
    <w:rPr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2E258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2E258A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2E258A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2E258A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2E258A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2E258A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2E258A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2E258A"/>
    <w:pPr>
      <w:spacing w:after="100"/>
      <w:ind w:left="1760"/>
    </w:pPr>
  </w:style>
  <w:style w:type="character" w:customStyle="1" w:styleId="UnresolvedMention1">
    <w:name w:val="Unresolved Mention1"/>
    <w:basedOn w:val="Policepardfaut"/>
    <w:uiPriority w:val="99"/>
    <w:unhideWhenUsed/>
    <w:rsid w:val="002E258A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Policepardfaut"/>
    <w:uiPriority w:val="99"/>
    <w:unhideWhenUsed/>
    <w:rsid w:val="002E258A"/>
    <w:rPr>
      <w:rFonts w:ascii="Segoe UI" w:hAnsi="Segoe UI" w:cs="Segoe UI"/>
      <w:color w:val="2B579A"/>
      <w:shd w:val="clear" w:color="auto" w:fill="E1DFDD"/>
    </w:rPr>
  </w:style>
  <w:style w:type="paragraph" w:styleId="Rvision">
    <w:name w:val="Revision"/>
    <w:hidden/>
    <w:uiPriority w:val="99"/>
    <w:semiHidden/>
    <w:rsid w:val="002E258A"/>
    <w:pPr>
      <w:spacing w:before="0" w:line="240" w:lineRule="auto"/>
    </w:pPr>
  </w:style>
  <w:style w:type="paragraph" w:customStyle="1" w:styleId="TexterutilisableEssayez-le">
    <w:name w:val="Texte réutilisable «Essayez-le »"/>
    <w:basedOn w:val="Normal"/>
    <w:rsid w:val="002E258A"/>
    <w:pPr>
      <w:ind w:left="720" w:right="720"/>
    </w:pPr>
    <w:rPr>
      <w:i/>
      <w:color w:val="595959" w:themeColor="text1" w:themeTint="A6"/>
    </w:rPr>
  </w:style>
  <w:style w:type="paragraph" w:customStyle="1" w:styleId="Citationmiseenvidence">
    <w:name w:val="Citation mise en évidence"/>
    <w:basedOn w:val="Normal"/>
    <w:next w:val="Normal"/>
    <w:link w:val="Caractredecitationmiseenvidence"/>
    <w:qFormat/>
    <w:rsid w:val="002E258A"/>
    <w:rPr>
      <w:rFonts w:eastAsiaTheme="minorEastAsia"/>
      <w:i/>
      <w:color w:val="3B3838" w:themeColor="background2" w:themeShade="40"/>
    </w:rPr>
  </w:style>
  <w:style w:type="character" w:customStyle="1" w:styleId="ListenumrosCar">
    <w:name w:val="Liste à numéros Car"/>
    <w:basedOn w:val="Policepardfaut"/>
    <w:link w:val="Listenumros"/>
    <w:uiPriority w:val="10"/>
    <w:rsid w:val="002E258A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redecitationmiseenvidence">
    <w:name w:val="Caractère de citation mise en évidence"/>
    <w:basedOn w:val="ListenumrosCar"/>
    <w:link w:val="Citationmiseenvidence"/>
    <w:rsid w:val="002E258A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Aucuneliste"/>
    <w:uiPriority w:val="99"/>
    <w:semiHidden/>
    <w:unhideWhenUsed/>
    <w:rsid w:val="002E258A"/>
    <w:pPr>
      <w:numPr>
        <w:numId w:val="34"/>
      </w:numPr>
    </w:pPr>
  </w:style>
  <w:style w:type="numbering" w:styleId="1ai">
    <w:name w:val="Outline List 1"/>
    <w:basedOn w:val="Aucuneliste"/>
    <w:uiPriority w:val="99"/>
    <w:semiHidden/>
    <w:unhideWhenUsed/>
    <w:rsid w:val="002E258A"/>
    <w:pPr>
      <w:numPr>
        <w:numId w:val="35"/>
      </w:numPr>
    </w:pPr>
  </w:style>
  <w:style w:type="numbering" w:styleId="ArticleSection">
    <w:name w:val="Outline List 3"/>
    <w:basedOn w:val="Aucuneliste"/>
    <w:uiPriority w:val="99"/>
    <w:semiHidden/>
    <w:unhideWhenUsed/>
    <w:rsid w:val="002E258A"/>
    <w:pPr>
      <w:numPr>
        <w:numId w:val="36"/>
      </w:numPr>
    </w:pPr>
  </w:style>
  <w:style w:type="character" w:customStyle="1" w:styleId="Hashtag1">
    <w:name w:val="Hashtag1"/>
    <w:basedOn w:val="Policepardfaut"/>
    <w:uiPriority w:val="99"/>
    <w:semiHidden/>
    <w:unhideWhenUsed/>
    <w:rsid w:val="002E258A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Policepardfaut"/>
    <w:uiPriority w:val="99"/>
    <w:semiHidden/>
    <w:unhideWhenUsed/>
    <w:rsid w:val="002E258A"/>
    <w:rPr>
      <w:rFonts w:ascii="Segoe UI" w:hAnsi="Segoe UI" w:cs="Segoe UI"/>
      <w:u w:val="dotted"/>
    </w:rPr>
  </w:style>
  <w:style w:type="paragraph" w:customStyle="1" w:styleId="DecimalAligned">
    <w:name w:val="Decimal Aligned"/>
    <w:basedOn w:val="Normal"/>
    <w:uiPriority w:val="40"/>
    <w:qFormat/>
    <w:rsid w:val="00E63727"/>
    <w:pPr>
      <w:tabs>
        <w:tab w:val="decimal" w:pos="360"/>
      </w:tabs>
      <w:spacing w:before="0" w:after="200" w:line="276" w:lineRule="auto"/>
    </w:pPr>
    <w:rPr>
      <w:rFonts w:asciiTheme="minorHAnsi" w:eastAsiaTheme="minorEastAsia" w:hAnsiTheme="minorHAnsi" w:cs="Times New Roman"/>
      <w:lang w:eastAsia="fr-FR"/>
    </w:rPr>
  </w:style>
  <w:style w:type="table" w:customStyle="1" w:styleId="1-styletableau-G2S">
    <w:name w:val="1 - style_tableau-G2S"/>
    <w:basedOn w:val="Grilledutableau"/>
    <w:uiPriority w:val="99"/>
    <w:rsid w:val="00E63727"/>
    <w:pPr>
      <w:spacing w:before="0"/>
    </w:pPr>
    <w:tblPr/>
    <w:tblStylePr w:type="firstRow">
      <w:rPr>
        <w:b/>
      </w:rPr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DIRECTION-CTO\AppData\Local\Microsoft\Office\16.0\DTS\fr-FR%7bE131372F-65CD-4E87-8664-013066E3F2EC%7d\%7bEE6380D2-978B-43AC-8B92-381FB16DF392%7dTFc97815bb-36b3-4f03-9a37-9a8516cb4bec826a5449_win32-fea02f163b0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ED352DF960B7448B152E3EE195FDE1" ma:contentTypeVersion="18" ma:contentTypeDescription="Crée un document." ma:contentTypeScope="" ma:versionID="572c8ffca72dd291061d60ae4bc38681">
  <xsd:schema xmlns:xsd="http://www.w3.org/2001/XMLSchema" xmlns:xs="http://www.w3.org/2001/XMLSchema" xmlns:p="http://schemas.microsoft.com/office/2006/metadata/properties" xmlns:ns2="83ba399e-d605-4017-bf77-ba94f5539960" xmlns:ns3="3c7c126f-062f-44a7-a8a3-3eea9ab0b0c9" targetNamespace="http://schemas.microsoft.com/office/2006/metadata/properties" ma:root="true" ma:fieldsID="33a1fc8f7496cbd93f5d41fa62b785db" ns2:_="" ns3:_="">
    <xsd:import namespace="83ba399e-d605-4017-bf77-ba94f5539960"/>
    <xsd:import namespace="3c7c126f-062f-44a7-a8a3-3eea9ab0b0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hash" minOccurs="0"/>
                <xsd:element ref="ns2:tes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a399e-d605-4017-bf77-ba94f55399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073953a6-ce0f-478f-9165-c2c7cc5994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État de validation" ma:internalName="_x00c9_tat_x0020_de_x0020_validation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hash" ma:index="24" nillable="true" ma:displayName="hash" ma:format="Dropdown" ma:internalName="hash">
      <xsd:simpleType>
        <xsd:restriction base="dms:Text">
          <xsd:maxLength value="255"/>
        </xsd:restriction>
      </xsd:simpleType>
    </xsd:element>
    <xsd:element name="test" ma:index="25" nillable="true" ma:displayName="test" ma:format="Dropdown" ma:list="UserInfo" ma:SharePointGroup="0" ma:internalName="tes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c126f-062f-44a7-a8a3-3eea9ab0b0c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042ac04-27a8-4635-b1cd-546ebb305f73}" ma:internalName="TaxCatchAll" ma:showField="CatchAllData" ma:web="3c7c126f-062f-44a7-a8a3-3eea9ab0b0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3ba399e-d605-4017-bf77-ba94f5539960" xsi:nil="true"/>
    <lcf76f155ced4ddcb4097134ff3c332f xmlns="83ba399e-d605-4017-bf77-ba94f5539960">
      <Terms xmlns="http://schemas.microsoft.com/office/infopath/2007/PartnerControls"/>
    </lcf76f155ced4ddcb4097134ff3c332f>
    <hash xmlns="83ba399e-d605-4017-bf77-ba94f5539960" xsi:nil="true"/>
    <TaxCatchAll xmlns="3c7c126f-062f-44a7-a8a3-3eea9ab0b0c9" xsi:nil="true"/>
    <test xmlns="83ba399e-d605-4017-bf77-ba94f5539960">
      <UserInfo>
        <DisplayName/>
        <AccountId xsi:nil="true"/>
        <AccountType/>
      </UserInfo>
    </test>
  </documentManagement>
</p:properties>
</file>

<file path=customXml/itemProps1.xml><?xml version="1.0" encoding="utf-8"?>
<ds:datastoreItem xmlns:ds="http://schemas.openxmlformats.org/officeDocument/2006/customXml" ds:itemID="{17CCD027-8869-472B-AED8-9A42712F76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C94E3F-7117-4922-BA9D-BF2196F9F8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ba399e-d605-4017-bf77-ba94f5539960"/>
    <ds:schemaRef ds:uri="3c7c126f-062f-44a7-a8a3-3eea9ab0b0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7F62A2-368D-45A8-A290-F636176841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043A10-CBD3-4C69-9A8F-CCA5663C2147}">
  <ds:schemaRefs>
    <ds:schemaRef ds:uri="http://schemas.microsoft.com/office/2006/metadata/properties"/>
    <ds:schemaRef ds:uri="http://schemas.microsoft.com/office/infopath/2007/PartnerControls"/>
    <ds:schemaRef ds:uri="83ba399e-d605-4017-bf77-ba94f5539960"/>
    <ds:schemaRef ds:uri="3c7c126f-062f-44a7-a8a3-3eea9ab0b0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{EE6380D2-978B-43AC-8B92-381FB16DF392}TFc97815bb-36b3-4f03-9a37-9a8516cb4bec826a5449_win32-fea02f163b0b</Template>
  <TotalTime>1</TotalTime>
  <Pages>14</Pages>
  <Words>1318</Words>
  <Characters>7250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DIRECTION-CTO</dc:creator>
  <cp:keywords/>
  <dc:description/>
  <cp:lastModifiedBy>Almamy Camara</cp:lastModifiedBy>
  <cp:revision>2</cp:revision>
  <dcterms:created xsi:type="dcterms:W3CDTF">2026-07-16T09:51:00Z</dcterms:created>
  <dcterms:modified xsi:type="dcterms:W3CDTF">2026-07-16T09:51:00Z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0x010100A9ED352DF960B7448B152E3EE195FDE1</vt:lpwstr>
  </property>
</Properties>
</file>