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 Agreement</w:t>
      </w:r>
    </w:p>
    <w:p>
      <w:r>
        <w:t>This Agreement is made on March 3, 2026 between Acme Holdings LLC and Beta Industries LLC.</w:t>
      </w:r>
    </w:p>
    <w:p>
      <w:r>
        <w:t>1. Services. The Consultant will provide the services described in Schedule 1 to this Agreement.</w:t>
      </w:r>
    </w:p>
    <w:p>
      <w:r>
        <w:t>2. Fees. The Client will pay the Consultant thirty (30) days after receipt of each invoice.</w:t>
      </w:r>
    </w:p>
    <w:p>
      <w:r>
        <w:t>3. Term. This Agreement continues until terminated under Section 4.</w:t>
      </w:r>
    </w:p>
    <w:p>
      <w:r>
        <w:t>4. Termination. Either party may terminate on sixty (60) days notice.</w:t>
      </w:r>
    </w:p>
    <w:p>
      <w:r>
        <w:t>Schedule 1. The Consultant will advise on market entry.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