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Agreement is entered into as of March 3, 2026 by and between Acme Holdings LLC ("Discloser") and [COUNTERPARTY NAME] ("Recipient").</w:t>
      </w:r>
    </w:p>
    <w:p>
      <w:r>
        <w:t>1. Confidential Information. "Confidential Information" means any information disclosed by the Discloser to the Reciever.</w:t>
      </w:r>
    </w:p>
    <w:p>
      <w:r>
        <w:t>2. Term. This Agreement shall remain in effect for three (3) years from the date first written above, being March 5, 2026.</w:t>
      </w:r>
    </w:p>
    <w:p>
      <w:r>
        <w:t>4. Governing Law. This Agreement is governed by the laws of the State of New York, as further described in Section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