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sz w:val="34"/>
          <w:szCs w:val="34"/>
        </w:rPr>
        <w:t xml:space="preserve">JBB Portal — Forecasting, Cashflow &amp; Profit Reporting</w:t>
      </w:r>
    </w:p>
    <w:p>
      <w:pPr>
        <w:spacing w:after="60"/>
      </w:pPr>
      <w:r>
        <w:rPr>
          <w:color w:val="6B7280"/>
          <w:sz w:val="20"/>
          <w:szCs w:val="20"/>
        </w:rPr>
        <w:t xml:space="preserve">Proposed scope for review · Draft v0.1 · 20 July 2026 · Prepared by Nigel Reilly / Jewel Group</w:t>
      </w:r>
    </w:p>
    <w:p>
      <w:pPr>
        <w:pBdr>
          <w:bottom w:val="single" w:color="C2410C" w:sz="6"/>
        </w:pBdr>
        <w:spacing w:after="200"/>
      </w:pPr>
      <w:r>
        <w:rPr>
          <w:sz w:val="2"/>
          <w:szCs w:val="2"/>
        </w:rPr>
        <w:t xml:space="preserve"/>
      </w:r>
    </w:p>
    <w:p>
      <w:pPr>
        <w:pStyle w:val="Heading1"/>
        <w:spacing w:after="120" w:before="280"/>
      </w:pPr>
      <w:r>
        <w:rPr>
          <w:b/>
          <w:bCs/>
          <w:color w:val="111827"/>
          <w:sz w:val="26"/>
          <w:szCs w:val="26"/>
        </w:rPr>
        <w:t xml:space="preserve">1. Purpose</w:t>
      </w:r>
    </w:p>
    <w:p>
      <w:pPr>
        <w:spacing w:after="120" w:line="276"/>
      </w:pPr>
      <w:r>
        <w:rPr>
          <w:sz w:val="21"/>
          <w:szCs w:val="21"/>
        </w:rPr>
        <w:t xml:space="preserve">This document turns your recent messages (the Excel mock-up, the eque2 reference, and the notes on profit and the FD dashboard) into a concrete proposal we can agree before anything is built. Each section describes what we understand you want, how it would work against the portal’s live figures, and the questions we need answered to build it right first time. Nothing here is built yet — please mark up anything that reads wrong.</w:t>
      </w:r>
    </w:p>
    <w:p>
      <w:pPr>
        <w:pStyle w:val="Heading1"/>
        <w:spacing w:after="120" w:before="280"/>
      </w:pPr>
      <w:r>
        <w:rPr>
          <w:b/>
          <w:bCs/>
          <w:color w:val="111827"/>
          <w:sz w:val="26"/>
          <w:szCs w:val="26"/>
        </w:rPr>
        <w:t xml:space="preserve">2. Definitions already in place</w:t>
      </w:r>
    </w:p>
    <w:p>
      <w:pPr>
        <w:spacing w:after="120" w:line="276"/>
      </w:pPr>
      <w:r>
        <w:rPr>
          <w:sz w:val="21"/>
          <w:szCs w:val="21"/>
        </w:rPr>
        <w:t xml:space="preserve">These are live on the Financials tab today and every feature below reuses them — one set of numbers throughout:</w:t>
      </w:r>
    </w:p>
    <w:p>
      <w:pPr>
        <w:pStyle w:val="ListParagraph"/>
        <w:numPr>
          <w:ilvl w:val="0"/>
          <w:numId w:val="2"/>
        </w:numPr>
        <w:spacing w:after="80" w:line="276"/>
      </w:pPr>
      <w:r>
        <w:rPr>
          <w:sz w:val="21"/>
          <w:szCs w:val="21"/>
        </w:rPr>
        <w:t xml:space="preserve">Contract Sales Value — the valuation report’s counting lines (contract works, provisional sums, contingency, variations).</w:t>
      </w:r>
    </w:p>
    <w:p>
      <w:pPr>
        <w:pStyle w:val="ListParagraph"/>
        <w:numPr>
          <w:ilvl w:val="0"/>
          <w:numId w:val="2"/>
        </w:numPr>
        <w:spacing w:after="80" w:line="276"/>
      </w:pPr>
      <w:r>
        <w:rPr>
          <w:sz w:val="21"/>
          <w:szCs w:val="21"/>
        </w:rPr>
        <w:t xml:space="preserve">Target Cost Value — Contract Sales Value with the standard margin backed out; what the line should cost.</w:t>
      </w:r>
    </w:p>
    <w:p>
      <w:pPr>
        <w:pStyle w:val="ListParagraph"/>
        <w:numPr>
          <w:ilvl w:val="0"/>
          <w:numId w:val="2"/>
        </w:numPr>
        <w:spacing w:after="80" w:line="276"/>
      </w:pPr>
      <w:r>
        <w:rPr>
          <w:sz w:val="21"/>
          <w:szCs w:val="21"/>
        </w:rPr>
        <w:t xml:space="preserve">Work Orders — value committed to work orders (order book, not yet necessarily billed).</w:t>
      </w:r>
    </w:p>
    <w:p>
      <w:pPr>
        <w:pStyle w:val="ListParagraph"/>
        <w:numPr>
          <w:ilvl w:val="0"/>
          <w:numId w:val="2"/>
        </w:numPr>
        <w:spacing w:after="80" w:line="276"/>
      </w:pPr>
      <w:r>
        <w:rPr>
          <w:sz w:val="21"/>
          <w:szCs w:val="21"/>
        </w:rPr>
        <w:t xml:space="preserve">Non-WO Cost of Sales — actual allocated spend not linked to any work order (including approved labour).</w:t>
      </w:r>
    </w:p>
    <w:p>
      <w:pPr>
        <w:pStyle w:val="ListParagraph"/>
        <w:numPr>
          <w:ilvl w:val="0"/>
          <w:numId w:val="2"/>
        </w:numPr>
        <w:spacing w:after="80" w:line="276"/>
      </w:pPr>
      <w:r>
        <w:rPr>
          <w:sz w:val="21"/>
          <w:szCs w:val="21"/>
        </w:rPr>
        <w:t xml:space="preserve">Forecasted Cost of Sales — Work Orders + Non-WO Cost of Sales; the expected total cost of the line.</w:t>
      </w:r>
    </w:p>
    <w:p>
      <w:pPr>
        <w:pStyle w:val="ListParagraph"/>
        <w:numPr>
          <w:ilvl w:val="0"/>
          <w:numId w:val="2"/>
        </w:numPr>
        <w:spacing w:after="80" w:line="276"/>
      </w:pPr>
      <w:r>
        <w:rPr>
          <w:sz w:val="21"/>
          <w:szCs w:val="21"/>
        </w:rPr>
        <w:t xml:space="preserve">Drawdown — Target Cost Value − Forecasted Cost of Sales; funds still available (negative = overspent).</w:t>
      </w:r>
    </w:p>
    <w:p>
      <w:pPr>
        <w:pStyle w:val="ListParagraph"/>
        <w:numPr>
          <w:ilvl w:val="0"/>
          <w:numId w:val="2"/>
        </w:numPr>
        <w:spacing w:after="80" w:line="276"/>
      </w:pPr>
      <w:r>
        <w:rPr>
          <w:sz w:val="21"/>
          <w:szCs w:val="21"/>
        </w:rPr>
        <w:t xml:space="preserve">Actual Cost of Sales — reference column: allocated Xero purchase spend, used for allocating invoices to work orders.</w:t>
      </w:r>
    </w:p>
    <w:p>
      <w:pPr>
        <w:pStyle w:val="Heading1"/>
        <w:spacing w:after="120" w:before="280"/>
      </w:pPr>
      <w:r>
        <w:rPr>
          <w:b/>
          <w:bCs/>
          <w:color w:val="111827"/>
          <w:sz w:val="26"/>
          <w:szCs w:val="26"/>
        </w:rPr>
        <w:t xml:space="preserve">3. Workstream A — Phased forecast grid (cashflow)</w:t>
      </w:r>
    </w:p>
    <w:p>
      <w:pPr>
        <w:spacing w:after="120" w:line="276"/>
      </w:pPr>
      <w:r>
        <w:rPr>
          <w:sz w:val="21"/>
          <w:szCs w:val="21"/>
        </w:rPr>
        <w:t xml:space="preserve">A new Cashflow forecast table, matching the shape of your Excel: one row per revenue line and per cost line (by cost code), columns for each month, with the phased amounts entered against them. Worked from your example: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700"/>
        <w:gridCol w:w="1250"/>
        <w:gridCol w:w="950"/>
        <w:gridCol w:w="950"/>
        <w:gridCol w:w="950"/>
        <w:gridCol w:w="950"/>
        <w:gridCol w:w="950"/>
        <w:gridCol w:w="1150"/>
        <w:gridCol w:w="950"/>
      </w:tblGrid>
      <w:tr>
        <w:tc>
          <w:tcPr>
            <w:tcW w:type="dxa" w:w="1700"/>
            <w:shd w:fill="F3F4F6" w:val="clear"/>
            <w:tcMar>
              <w:top w:type="dxa" w:w="60"/>
              <w:left w:type="dxa" w:w="100"/>
              <w:bottom w:type="dxa" w:w="60"/>
              <w:right w:type="dxa" w:w="100"/>
            </w:tcMar>
          </w:tcPr>
          <w:p>
            <w:pPr>
              <w:jc w:val="left"/>
            </w:pPr>
            <w:r>
              <w:rPr>
                <w:b w:val="false"/>
                <w:bCs w:val="false"/>
                <w:sz w:val="19"/>
                <w:szCs w:val="19"/>
              </w:rPr>
              <w:t xml:space="preserve"/>
            </w:r>
          </w:p>
        </w:tc>
        <w:tc>
          <w:tcPr>
            <w:tcW w:type="dxa" w:w="1250"/>
            <w:shd w:fill="F3F4F6" w:val="clear"/>
            <w:tcMar>
              <w:top w:type="dxa" w:w="60"/>
              <w:left w:type="dxa" w:w="100"/>
              <w:bottom w:type="dxa" w:w="60"/>
              <w:right w:type="dxa" w:w="100"/>
            </w:tcMar>
          </w:tcPr>
          <w:p>
            <w:pPr>
              <w:jc w:val="right"/>
            </w:pPr>
            <w:r>
              <w:rPr>
                <w:b/>
                <w:bCs/>
                <w:sz w:val="19"/>
                <w:szCs w:val="19"/>
              </w:rPr>
              <w:t xml:space="preserve">Balance</w:t>
            </w:r>
          </w:p>
        </w:tc>
        <w:tc>
          <w:tcPr>
            <w:tcW w:type="dxa" w:w="950"/>
            <w:shd w:fill="F3F4F6" w:val="clear"/>
            <w:tcMar>
              <w:top w:type="dxa" w:w="60"/>
              <w:left w:type="dxa" w:w="100"/>
              <w:bottom w:type="dxa" w:w="60"/>
              <w:right w:type="dxa" w:w="100"/>
            </w:tcMar>
          </w:tcPr>
          <w:p>
            <w:pPr>
              <w:jc w:val="right"/>
            </w:pPr>
            <w:r>
              <w:rPr>
                <w:b/>
                <w:bCs/>
                <w:sz w:val="19"/>
                <w:szCs w:val="19"/>
              </w:rPr>
              <w:t xml:space="preserve">Aug</w:t>
            </w:r>
          </w:p>
        </w:tc>
        <w:tc>
          <w:tcPr>
            <w:tcW w:type="dxa" w:w="950"/>
            <w:shd w:fill="F3F4F6" w:val="clear"/>
            <w:tcMar>
              <w:top w:type="dxa" w:w="60"/>
              <w:left w:type="dxa" w:w="100"/>
              <w:bottom w:type="dxa" w:w="60"/>
              <w:right w:type="dxa" w:w="100"/>
            </w:tcMar>
          </w:tcPr>
          <w:p>
            <w:pPr>
              <w:jc w:val="right"/>
            </w:pPr>
            <w:r>
              <w:rPr>
                <w:b/>
                <w:bCs/>
                <w:sz w:val="19"/>
                <w:szCs w:val="19"/>
              </w:rPr>
              <w:t xml:space="preserve">Sep</w:t>
            </w:r>
          </w:p>
        </w:tc>
        <w:tc>
          <w:tcPr>
            <w:tcW w:type="dxa" w:w="950"/>
            <w:shd w:fill="F3F4F6" w:val="clear"/>
            <w:tcMar>
              <w:top w:type="dxa" w:w="60"/>
              <w:left w:type="dxa" w:w="100"/>
              <w:bottom w:type="dxa" w:w="60"/>
              <w:right w:type="dxa" w:w="100"/>
            </w:tcMar>
          </w:tcPr>
          <w:p>
            <w:pPr>
              <w:jc w:val="right"/>
            </w:pPr>
            <w:r>
              <w:rPr>
                <w:b/>
                <w:bCs/>
                <w:sz w:val="19"/>
                <w:szCs w:val="19"/>
              </w:rPr>
              <w:t xml:space="preserve">Oct</w:t>
            </w:r>
          </w:p>
        </w:tc>
        <w:tc>
          <w:tcPr>
            <w:tcW w:type="dxa" w:w="950"/>
            <w:shd w:fill="F3F4F6" w:val="clear"/>
            <w:tcMar>
              <w:top w:type="dxa" w:w="60"/>
              <w:left w:type="dxa" w:w="100"/>
              <w:bottom w:type="dxa" w:w="60"/>
              <w:right w:type="dxa" w:w="100"/>
            </w:tcMar>
          </w:tcPr>
          <w:p>
            <w:pPr>
              <w:jc w:val="right"/>
            </w:pPr>
            <w:r>
              <w:rPr>
                <w:b/>
                <w:bCs/>
                <w:sz w:val="19"/>
                <w:szCs w:val="19"/>
              </w:rPr>
              <w:t xml:space="preserve">Nov</w:t>
            </w:r>
          </w:p>
        </w:tc>
        <w:tc>
          <w:tcPr>
            <w:tcW w:type="dxa" w:w="950"/>
            <w:shd w:fill="F3F4F6" w:val="clear"/>
            <w:tcMar>
              <w:top w:type="dxa" w:w="60"/>
              <w:left w:type="dxa" w:w="100"/>
              <w:bottom w:type="dxa" w:w="60"/>
              <w:right w:type="dxa" w:w="100"/>
            </w:tcMar>
          </w:tcPr>
          <w:p>
            <w:pPr>
              <w:jc w:val="right"/>
            </w:pPr>
            <w:r>
              <w:rPr>
                <w:b/>
                <w:bCs/>
                <w:sz w:val="19"/>
                <w:szCs w:val="19"/>
              </w:rPr>
              <w:t xml:space="preserve">Dec</w:t>
            </w:r>
          </w:p>
        </w:tc>
        <w:tc>
          <w:tcPr>
            <w:tcW w:type="dxa" w:w="1150"/>
            <w:shd w:fill="F3F4F6" w:val="clear"/>
            <w:tcMar>
              <w:top w:type="dxa" w:w="60"/>
              <w:left w:type="dxa" w:w="100"/>
              <w:bottom w:type="dxa" w:w="60"/>
              <w:right w:type="dxa" w:w="100"/>
            </w:tcMar>
          </w:tcPr>
          <w:p>
            <w:pPr>
              <w:jc w:val="right"/>
            </w:pPr>
            <w:r>
              <w:rPr>
                <w:b/>
                <w:bCs/>
                <w:sz w:val="19"/>
                <w:szCs w:val="19"/>
              </w:rPr>
              <w:t xml:space="preserve">Total</w:t>
            </w:r>
          </w:p>
        </w:tc>
        <w:tc>
          <w:tcPr>
            <w:tcW w:type="dxa" w:w="950"/>
            <w:shd w:fill="F3F4F6" w:val="clear"/>
            <w:tcMar>
              <w:top w:type="dxa" w:w="60"/>
              <w:left w:type="dxa" w:w="100"/>
              <w:bottom w:type="dxa" w:w="60"/>
              <w:right w:type="dxa" w:w="100"/>
            </w:tcMar>
          </w:tcPr>
          <w:p>
            <w:pPr>
              <w:jc w:val="right"/>
            </w:pPr>
            <w:r>
              <w:rPr>
                <w:b/>
                <w:bCs/>
                <w:sz w:val="19"/>
                <w:szCs w:val="19"/>
              </w:rPr>
              <w:t xml:space="preserve">Variance</w:t>
            </w:r>
          </w:p>
        </w:tc>
      </w:tr>
      <w:tr>
        <w:tc>
          <w:tcPr>
            <w:tcW w:type="dxa" w:w="1700"/>
            <w:tcMar>
              <w:top w:type="dxa" w:w="60"/>
              <w:left w:type="dxa" w:w="100"/>
              <w:bottom w:type="dxa" w:w="60"/>
              <w:right w:type="dxa" w:w="100"/>
            </w:tcMar>
          </w:tcPr>
          <w:p>
            <w:pPr>
              <w:jc w:val="left"/>
            </w:pPr>
            <w:r>
              <w:rPr>
                <w:b w:val="false"/>
                <w:bCs w:val="false"/>
                <w:sz w:val="19"/>
                <w:szCs w:val="19"/>
              </w:rPr>
              <w:t xml:space="preserve">Revenue — cost code</w:t>
            </w:r>
          </w:p>
        </w:tc>
        <w:tc>
          <w:tcPr>
            <w:tcW w:type="dxa" w:w="1250"/>
            <w:tcMar>
              <w:top w:type="dxa" w:w="60"/>
              <w:left w:type="dxa" w:w="100"/>
              <w:bottom w:type="dxa" w:w="60"/>
              <w:right w:type="dxa" w:w="100"/>
            </w:tcMar>
          </w:tcPr>
          <w:p>
            <w:pPr>
              <w:jc w:val="right"/>
            </w:pPr>
            <w:r>
              <w:rPr>
                <w:b w:val="false"/>
                <w:bCs w:val="false"/>
                <w:sz w:val="19"/>
                <w:szCs w:val="19"/>
              </w:rPr>
              <w:t xml:space="preserve">£100,000</w:t>
            </w:r>
          </w:p>
        </w:tc>
        <w:tc>
          <w:tcPr>
            <w:tcW w:type="dxa" w:w="950"/>
            <w:tcMar>
              <w:top w:type="dxa" w:w="60"/>
              <w:left w:type="dxa" w:w="100"/>
              <w:bottom w:type="dxa" w:w="60"/>
              <w:right w:type="dxa" w:w="100"/>
            </w:tcMar>
          </w:tcPr>
          <w:p>
            <w:pPr>
              <w:jc w:val="right"/>
            </w:pPr>
            <w:r>
              <w:rPr>
                <w:b w:val="false"/>
                <w:bCs w:val="false"/>
                <w:sz w:val="19"/>
                <w:szCs w:val="19"/>
              </w:rPr>
              <w:t xml:space="preserve">£20,000</w:t>
            </w:r>
          </w:p>
        </w:tc>
        <w:tc>
          <w:tcPr>
            <w:tcW w:type="dxa" w:w="950"/>
            <w:tcMar>
              <w:top w:type="dxa" w:w="60"/>
              <w:left w:type="dxa" w:w="100"/>
              <w:bottom w:type="dxa" w:w="60"/>
              <w:right w:type="dxa" w:w="100"/>
            </w:tcMar>
          </w:tcPr>
          <w:p>
            <w:pPr>
              <w:jc w:val="right"/>
            </w:pPr>
            <w:r>
              <w:rPr>
                <w:b w:val="false"/>
                <w:bCs w:val="false"/>
                <w:sz w:val="19"/>
                <w:szCs w:val="19"/>
              </w:rPr>
              <w:t xml:space="preserve">£20,000</w:t>
            </w:r>
          </w:p>
        </w:tc>
        <w:tc>
          <w:tcPr>
            <w:tcW w:type="dxa" w:w="950"/>
            <w:tcMar>
              <w:top w:type="dxa" w:w="60"/>
              <w:left w:type="dxa" w:w="100"/>
              <w:bottom w:type="dxa" w:w="60"/>
              <w:right w:type="dxa" w:w="100"/>
            </w:tcMar>
          </w:tcPr>
          <w:p>
            <w:pPr>
              <w:jc w:val="right"/>
            </w:pPr>
            <w:r>
              <w:rPr>
                <w:b w:val="false"/>
                <w:bCs w:val="false"/>
                <w:sz w:val="19"/>
                <w:szCs w:val="19"/>
              </w:rPr>
              <w:t xml:space="preserve">£20,000</w:t>
            </w:r>
          </w:p>
        </w:tc>
        <w:tc>
          <w:tcPr>
            <w:tcW w:type="dxa" w:w="950"/>
            <w:tcMar>
              <w:top w:type="dxa" w:w="60"/>
              <w:left w:type="dxa" w:w="100"/>
              <w:bottom w:type="dxa" w:w="60"/>
              <w:right w:type="dxa" w:w="100"/>
            </w:tcMar>
          </w:tcPr>
          <w:p>
            <w:pPr>
              <w:jc w:val="right"/>
            </w:pPr>
            <w:r>
              <w:rPr>
                <w:b w:val="false"/>
                <w:bCs w:val="false"/>
                <w:sz w:val="19"/>
                <w:szCs w:val="19"/>
              </w:rPr>
              <w:t xml:space="preserve">£20,000</w:t>
            </w:r>
          </w:p>
        </w:tc>
        <w:tc>
          <w:tcPr>
            <w:tcW w:type="dxa" w:w="950"/>
            <w:tcMar>
              <w:top w:type="dxa" w:w="60"/>
              <w:left w:type="dxa" w:w="100"/>
              <w:bottom w:type="dxa" w:w="60"/>
              <w:right w:type="dxa" w:w="100"/>
            </w:tcMar>
          </w:tcPr>
          <w:p>
            <w:pPr>
              <w:jc w:val="right"/>
            </w:pPr>
            <w:r>
              <w:rPr>
                <w:b w:val="false"/>
                <w:bCs w:val="false"/>
                <w:sz w:val="19"/>
                <w:szCs w:val="19"/>
              </w:rPr>
              <w:t xml:space="preserve">£20,000</w:t>
            </w:r>
          </w:p>
        </w:tc>
        <w:tc>
          <w:tcPr>
            <w:tcW w:type="dxa" w:w="1150"/>
            <w:tcMar>
              <w:top w:type="dxa" w:w="60"/>
              <w:left w:type="dxa" w:w="100"/>
              <w:bottom w:type="dxa" w:w="60"/>
              <w:right w:type="dxa" w:w="100"/>
            </w:tcMar>
          </w:tcPr>
          <w:p>
            <w:pPr>
              <w:jc w:val="right"/>
            </w:pPr>
            <w:r>
              <w:rPr>
                <w:b w:val="false"/>
                <w:bCs w:val="false"/>
                <w:sz w:val="19"/>
                <w:szCs w:val="19"/>
              </w:rPr>
              <w:t xml:space="preserve">£100,000</w:t>
            </w:r>
          </w:p>
        </w:tc>
        <w:tc>
          <w:tcPr>
            <w:tcW w:type="dxa" w:w="950"/>
            <w:tcMar>
              <w:top w:type="dxa" w:w="60"/>
              <w:left w:type="dxa" w:w="100"/>
              <w:bottom w:type="dxa" w:w="60"/>
              <w:right w:type="dxa" w:w="100"/>
            </w:tcMar>
          </w:tcPr>
          <w:p>
            <w:pPr>
              <w:jc w:val="right"/>
            </w:pPr>
            <w:r>
              <w:rPr>
                <w:b w:val="false"/>
                <w:bCs w:val="false"/>
                <w:sz w:val="19"/>
                <w:szCs w:val="19"/>
              </w:rPr>
              <w:t xml:space="preserve">£0</w:t>
            </w:r>
          </w:p>
        </w:tc>
      </w:tr>
      <w:tr>
        <w:tc>
          <w:tcPr>
            <w:tcW w:type="dxa" w:w="1700"/>
            <w:tcMar>
              <w:top w:type="dxa" w:w="60"/>
              <w:left w:type="dxa" w:w="100"/>
              <w:bottom w:type="dxa" w:w="60"/>
              <w:right w:type="dxa" w:w="100"/>
            </w:tcMar>
          </w:tcPr>
          <w:p>
            <w:pPr>
              <w:jc w:val="left"/>
            </w:pPr>
            <w:r>
              <w:rPr>
                <w:b w:val="false"/>
                <w:bCs w:val="false"/>
                <w:sz w:val="19"/>
                <w:szCs w:val="19"/>
              </w:rPr>
              <w:t xml:space="preserve">Cost — cost code</w:t>
            </w:r>
          </w:p>
        </w:tc>
        <w:tc>
          <w:tcPr>
            <w:tcW w:type="dxa" w:w="1250"/>
            <w:tcMar>
              <w:top w:type="dxa" w:w="60"/>
              <w:left w:type="dxa" w:w="100"/>
              <w:bottom w:type="dxa" w:w="60"/>
              <w:right w:type="dxa" w:w="100"/>
            </w:tcMar>
          </w:tcPr>
          <w:p>
            <w:pPr>
              <w:jc w:val="right"/>
            </w:pPr>
            <w:r>
              <w:rPr>
                <w:b w:val="false"/>
                <w:bCs w:val="false"/>
                <w:sz w:val="19"/>
                <w:szCs w:val="19"/>
              </w:rPr>
              <w:t xml:space="preserve">(£80,000)</w:t>
            </w:r>
          </w:p>
        </w:tc>
        <w:tc>
          <w:tcPr>
            <w:tcW w:type="dxa" w:w="950"/>
            <w:tcMar>
              <w:top w:type="dxa" w:w="60"/>
              <w:left w:type="dxa" w:w="100"/>
              <w:bottom w:type="dxa" w:w="60"/>
              <w:right w:type="dxa" w:w="100"/>
            </w:tcMar>
          </w:tcPr>
          <w:p>
            <w:pPr>
              <w:jc w:val="left"/>
            </w:pPr>
            <w:r>
              <w:rPr>
                <w:b w:val="false"/>
                <w:bCs w:val="false"/>
                <w:sz w:val="19"/>
                <w:szCs w:val="19"/>
              </w:rPr>
              <w:t xml:space="preserve"/>
            </w:r>
          </w:p>
        </w:tc>
        <w:tc>
          <w:tcPr>
            <w:tcW w:type="dxa" w:w="950"/>
            <w:tcMar>
              <w:top w:type="dxa" w:w="60"/>
              <w:left w:type="dxa" w:w="100"/>
              <w:bottom w:type="dxa" w:w="60"/>
              <w:right w:type="dxa" w:w="100"/>
            </w:tcMar>
          </w:tcPr>
          <w:p>
            <w:pPr>
              <w:jc w:val="right"/>
            </w:pPr>
            <w:r>
              <w:rPr>
                <w:b w:val="false"/>
                <w:bCs w:val="false"/>
                <w:sz w:val="19"/>
                <w:szCs w:val="19"/>
              </w:rPr>
              <w:t xml:space="preserve">(£40,000)</w:t>
            </w:r>
          </w:p>
        </w:tc>
        <w:tc>
          <w:tcPr>
            <w:tcW w:type="dxa" w:w="950"/>
            <w:tcMar>
              <w:top w:type="dxa" w:w="60"/>
              <w:left w:type="dxa" w:w="100"/>
              <w:bottom w:type="dxa" w:w="60"/>
              <w:right w:type="dxa" w:w="100"/>
            </w:tcMar>
          </w:tcPr>
          <w:p>
            <w:pPr>
              <w:jc w:val="left"/>
            </w:pPr>
            <w:r>
              <w:rPr>
                <w:b w:val="false"/>
                <w:bCs w:val="false"/>
                <w:sz w:val="19"/>
                <w:szCs w:val="19"/>
              </w:rPr>
              <w:t xml:space="preserve"/>
            </w:r>
          </w:p>
        </w:tc>
        <w:tc>
          <w:tcPr>
            <w:tcW w:type="dxa" w:w="950"/>
            <w:tcMar>
              <w:top w:type="dxa" w:w="60"/>
              <w:left w:type="dxa" w:w="100"/>
              <w:bottom w:type="dxa" w:w="60"/>
              <w:right w:type="dxa" w:w="100"/>
            </w:tcMar>
          </w:tcPr>
          <w:p>
            <w:pPr>
              <w:jc w:val="right"/>
            </w:pPr>
            <w:r>
              <w:rPr>
                <w:b w:val="false"/>
                <w:bCs w:val="false"/>
                <w:sz w:val="19"/>
                <w:szCs w:val="19"/>
              </w:rPr>
              <w:t xml:space="preserve">(£40,000)</w:t>
            </w:r>
          </w:p>
        </w:tc>
        <w:tc>
          <w:tcPr>
            <w:tcW w:type="dxa" w:w="950"/>
            <w:tcMar>
              <w:top w:type="dxa" w:w="60"/>
              <w:left w:type="dxa" w:w="100"/>
              <w:bottom w:type="dxa" w:w="60"/>
              <w:right w:type="dxa" w:w="100"/>
            </w:tcMar>
          </w:tcPr>
          <w:p>
            <w:pPr>
              <w:jc w:val="left"/>
            </w:pPr>
            <w:r>
              <w:rPr>
                <w:b w:val="false"/>
                <w:bCs w:val="false"/>
                <w:sz w:val="19"/>
                <w:szCs w:val="19"/>
              </w:rPr>
              <w:t xml:space="preserve"/>
            </w:r>
          </w:p>
        </w:tc>
        <w:tc>
          <w:tcPr>
            <w:tcW w:type="dxa" w:w="1150"/>
            <w:tcMar>
              <w:top w:type="dxa" w:w="60"/>
              <w:left w:type="dxa" w:w="100"/>
              <w:bottom w:type="dxa" w:w="60"/>
              <w:right w:type="dxa" w:w="100"/>
            </w:tcMar>
          </w:tcPr>
          <w:p>
            <w:pPr>
              <w:jc w:val="right"/>
            </w:pPr>
            <w:r>
              <w:rPr>
                <w:b w:val="false"/>
                <w:bCs w:val="false"/>
                <w:sz w:val="19"/>
                <w:szCs w:val="19"/>
              </w:rPr>
              <w:t xml:space="preserve">(£80,000)</w:t>
            </w:r>
          </w:p>
        </w:tc>
        <w:tc>
          <w:tcPr>
            <w:tcW w:type="dxa" w:w="950"/>
            <w:tcMar>
              <w:top w:type="dxa" w:w="60"/>
              <w:left w:type="dxa" w:w="100"/>
              <w:bottom w:type="dxa" w:w="60"/>
              <w:right w:type="dxa" w:w="100"/>
            </w:tcMar>
          </w:tcPr>
          <w:p>
            <w:pPr>
              <w:jc w:val="right"/>
            </w:pPr>
            <w:r>
              <w:rPr>
                <w:b w:val="false"/>
                <w:bCs w:val="false"/>
                <w:sz w:val="19"/>
                <w:szCs w:val="19"/>
              </w:rPr>
              <w:t xml:space="preserve">£0</w:t>
            </w:r>
          </w:p>
        </w:tc>
      </w:tr>
    </w:tbl>
    <w:p>
      <w:pPr>
        <w:spacing w:after="120"/>
      </w:pPr>
    </w:p>
    <w:p>
      <w:pPr>
        <w:spacing w:after="120" w:line="276"/>
      </w:pPr>
      <w:r>
        <w:rPr>
          <w:sz w:val="21"/>
          <w:szCs w:val="21"/>
        </w:rPr>
        <w:t xml:space="preserve">How it stays honest:</w:t>
      </w:r>
    </w:p>
    <w:p>
      <w:pPr>
        <w:pStyle w:val="ListParagraph"/>
        <w:numPr>
          <w:ilvl w:val="0"/>
          <w:numId w:val="2"/>
        </w:numPr>
        <w:spacing w:after="80" w:line="276"/>
      </w:pPr>
      <w:r>
        <w:rPr>
          <w:sz w:val="21"/>
          <w:szCs w:val="21"/>
        </w:rPr>
        <w:t xml:space="preserve">The Balance column is pulled live from the portal — never typed. Revenue rows draw from the valuation (contract value less certified to date); cost rows draw from the drawdown remaining per cost code.</w:t>
      </w:r>
    </w:p>
    <w:p>
      <w:pPr>
        <w:pStyle w:val="ListParagraph"/>
        <w:numPr>
          <w:ilvl w:val="0"/>
          <w:numId w:val="2"/>
        </w:numPr>
        <w:spacing w:after="80" w:line="276"/>
      </w:pPr>
      <w:r>
        <w:rPr>
          <w:sz w:val="21"/>
          <w:szCs w:val="21"/>
        </w:rPr>
        <w:t xml:space="preserve">The month cells are the forecast — phased by you (or pre-spread automatically, then adjusted).</w:t>
      </w:r>
    </w:p>
    <w:p>
      <w:pPr>
        <w:pStyle w:val="ListParagraph"/>
        <w:numPr>
          <w:ilvl w:val="0"/>
          <w:numId w:val="2"/>
        </w:numPr>
        <w:spacing w:after="80" w:line="276"/>
      </w:pPr>
      <w:r>
        <w:rPr>
          <w:sz w:val="21"/>
          <w:szCs w:val="21"/>
        </w:rPr>
        <w:t xml:space="preserve">Total sums the phased months per row; Variance = Balance − Total. A non-zero variance means the phasing no longer explains the live balance — flagged in red, never hidden.</w:t>
      </w:r>
    </w:p>
    <w:p>
      <w:pPr>
        <w:pStyle w:val="ListParagraph"/>
        <w:numPr>
          <w:ilvl w:val="0"/>
          <w:numId w:val="2"/>
        </w:numPr>
        <w:spacing w:after="80" w:line="276"/>
      </w:pPr>
      <w:r>
        <w:rPr>
          <w:sz w:val="21"/>
          <w:szCs w:val="21"/>
        </w:rPr>
        <w:t xml:space="preserve">A net movement line and a cumulative cash position line run along the bottom, so any month the project goes cash-negative is visible at a glance.</w:t>
      </w:r>
    </w:p>
    <w:p>
      <w:pPr>
        <w:pStyle w:val="ListParagraph"/>
        <w:numPr>
          <w:ilvl w:val="0"/>
          <w:numId w:val="2"/>
        </w:numPr>
        <w:spacing w:after="80" w:line="276"/>
      </w:pPr>
      <w:r>
        <w:rPr>
          <w:sz w:val="21"/>
          <w:szCs w:val="21"/>
        </w:rPr>
        <w:t xml:space="preserve">Export to Excel in exactly this layout.</w:t>
      </w:r>
    </w:p>
    <w:p>
      <w:pPr>
        <w:spacing w:after="80" w:before="120"/>
      </w:pPr>
      <w:r>
        <w:rPr>
          <w:b/>
          <w:bCs/>
          <w:color w:val="6B7280"/>
          <w:sz w:val="21"/>
          <w:szCs w:val="21"/>
        </w:rPr>
        <w:t xml:space="preserve">Questions for you</w:t>
      </w:r>
    </w:p>
    <w:p>
      <w:pPr>
        <w:pStyle w:val="ListParagraph"/>
        <w:numPr>
          <w:ilvl w:val="0"/>
          <w:numId w:val="3"/>
        </w:numPr>
        <w:spacing w:after="80" w:line="276"/>
      </w:pPr>
      <w:r>
        <w:rPr>
          <w:sz w:val="21"/>
          <w:szCs w:val="21"/>
        </w:rPr>
        <w:t xml:space="preserve">Columns: calendar months, or valuation cycles? (If valuations are monthly these coincide — confirm the anchor date.)</w:t>
      </w:r>
    </w:p>
    <w:p>
      <w:pPr>
        <w:pStyle w:val="ListParagraph"/>
        <w:numPr>
          <w:ilvl w:val="0"/>
          <w:numId w:val="3"/>
        </w:numPr>
        <w:spacing w:after="80" w:line="276"/>
      </w:pPr>
      <w:r>
        <w:rPr>
          <w:sz w:val="21"/>
          <w:szCs w:val="21"/>
        </w:rPr>
        <w:t xml:space="preserve">Cash timing: should revenue land in the month the valuation is certified, or offset by the client’s payment terms (how many days)? Same question for supplier payments (e.g. 30 days end-of-month?).</w:t>
      </w:r>
    </w:p>
    <w:p>
      <w:pPr>
        <w:pStyle w:val="ListParagraph"/>
        <w:numPr>
          <w:ilvl w:val="0"/>
          <w:numId w:val="3"/>
        </w:numPr>
        <w:spacing w:after="80" w:line="276"/>
      </w:pPr>
      <w:r>
        <w:rPr>
          <w:sz w:val="21"/>
          <w:szCs w:val="21"/>
        </w:rPr>
        <w:t xml:space="preserve">When a work order has no phasing entered, how should we pre-spread it — evenly to its expected completion, or leave blank until phased by hand?</w:t>
      </w:r>
    </w:p>
    <w:p>
      <w:pPr>
        <w:pStyle w:val="ListParagraph"/>
        <w:numPr>
          <w:ilvl w:val="0"/>
          <w:numId w:val="3"/>
        </w:numPr>
        <w:spacing w:after="80" w:line="276"/>
      </w:pPr>
      <w:r>
        <w:rPr>
          <w:sz w:val="21"/>
          <w:szCs w:val="21"/>
        </w:rPr>
        <w:t xml:space="preserve">Horizon: how many months forward should the grid run (fixed 12, or to project end)?</w:t>
      </w:r>
    </w:p>
    <w:p>
      <w:pPr>
        <w:pStyle w:val="Heading1"/>
        <w:spacing w:after="120" w:before="280"/>
      </w:pPr>
      <w:r>
        <w:rPr>
          <w:b/>
          <w:bCs/>
          <w:color w:val="111827"/>
          <w:sz w:val="26"/>
          <w:szCs w:val="26"/>
        </w:rPr>
        <w:t xml:space="preserve">4. Workstream B — Forecast tab, change tracking &amp; approval</w:t>
      </w:r>
    </w:p>
    <w:p>
      <w:pPr>
        <w:spacing w:after="120" w:line="276"/>
      </w:pPr>
      <w:r>
        <w:rPr>
          <w:sz w:val="21"/>
          <w:szCs w:val="21"/>
        </w:rPr>
        <w:t xml:space="preserve">Your note: “Extra TAB – forecast – Track when changed and reasoning means I can manage this correctly” and “Approval to change number based on forecast – Work on Budgeted / vs targets.” Proposed:</w:t>
      </w:r>
    </w:p>
    <w:p>
      <w:pPr>
        <w:pStyle w:val="ListParagraph"/>
        <w:numPr>
          <w:ilvl w:val="0"/>
          <w:numId w:val="2"/>
        </w:numPr>
        <w:spacing w:after="80" w:line="276"/>
      </w:pPr>
      <w:r>
        <w:rPr>
          <w:sz w:val="21"/>
          <w:szCs w:val="21"/>
        </w:rPr>
        <w:t xml:space="preserve">Every change to a forecast cell records who, when, old → new value, and a required reason — a visible history against each row.</w:t>
      </w:r>
    </w:p>
    <w:p>
      <w:pPr>
        <w:pStyle w:val="ListParagraph"/>
        <w:numPr>
          <w:ilvl w:val="0"/>
          <w:numId w:val="2"/>
        </w:numPr>
        <w:spacing w:after="80" w:line="276"/>
      </w:pPr>
      <w:r>
        <w:rPr>
          <w:sz w:val="21"/>
          <w:szCs w:val="21"/>
        </w:rPr>
        <w:t xml:space="preserve">A month-end snapshot of the whole forecast, so “what we said in July” is preserved and this month’s movement can be reported against it.</w:t>
      </w:r>
    </w:p>
    <w:p>
      <w:pPr>
        <w:pStyle w:val="ListParagraph"/>
        <w:numPr>
          <w:ilvl w:val="0"/>
          <w:numId w:val="2"/>
        </w:numPr>
        <w:spacing w:after="80" w:line="276"/>
      </w:pPr>
      <w:r>
        <w:rPr>
          <w:sz w:val="21"/>
          <w:szCs w:val="21"/>
        </w:rPr>
        <w:t xml:space="preserve">Changes to budgeted figures (targets) — as opposed to phasing — require an approval step before they take effect.</w:t>
      </w:r>
    </w:p>
    <w:p>
      <w:pPr>
        <w:spacing w:after="80" w:before="120"/>
      </w:pPr>
      <w:r>
        <w:rPr>
          <w:b/>
          <w:bCs/>
          <w:color w:val="6B7280"/>
          <w:sz w:val="21"/>
          <w:szCs w:val="21"/>
        </w:rPr>
        <w:t xml:space="preserve">Questions for you</w:t>
      </w:r>
    </w:p>
    <w:p>
      <w:pPr>
        <w:pStyle w:val="ListParagraph"/>
        <w:numPr>
          <w:ilvl w:val="0"/>
          <w:numId w:val="3"/>
        </w:numPr>
        <w:spacing w:after="80" w:line="276"/>
      </w:pPr>
      <w:r>
        <w:rPr>
          <w:sz w:val="21"/>
          <w:szCs w:val="21"/>
        </w:rPr>
        <w:t xml:space="preserve">Who approves budget changes — you, James, either, or role-based?</w:t>
      </w:r>
    </w:p>
    <w:p>
      <w:pPr>
        <w:pStyle w:val="ListParagraph"/>
        <w:numPr>
          <w:ilvl w:val="0"/>
          <w:numId w:val="3"/>
        </w:numPr>
        <w:spacing w:after="80" w:line="276"/>
      </w:pPr>
      <w:r>
        <w:rPr>
          <w:sz w:val="21"/>
          <w:szCs w:val="21"/>
        </w:rPr>
        <w:t xml:space="preserve">Does re-phasing within the same total need approval, or only changes that move a row’s total / a budget figure?</w:t>
      </w:r>
    </w:p>
    <w:p>
      <w:pPr>
        <w:pStyle w:val="ListParagraph"/>
        <w:numPr>
          <w:ilvl w:val="0"/>
          <w:numId w:val="3"/>
        </w:numPr>
        <w:spacing w:after="80" w:line="276"/>
      </w:pPr>
      <w:r>
        <w:rPr>
          <w:sz w:val="21"/>
          <w:szCs w:val="21"/>
        </w:rPr>
        <w:t xml:space="preserve">Snapshot cadence — month-end automatic, on-demand, or both?</w:t>
      </w:r>
    </w:p>
    <w:p>
      <w:pPr>
        <w:pStyle w:val="Heading1"/>
        <w:spacing w:after="120" w:before="280"/>
      </w:pPr>
      <w:r>
        <w:rPr>
          <w:b/>
          <w:bCs/>
          <w:color w:val="111827"/>
          <w:sz w:val="26"/>
          <w:szCs w:val="26"/>
        </w:rPr>
        <w:t xml:space="preserve">5. Workstream C — Profit: three measures, always £</w:t>
      </w:r>
    </w:p>
    <w:p>
      <w:pPr>
        <w:spacing w:after="120" w:line="276"/>
      </w:pPr>
      <w:r>
        <w:rPr>
          <w:sz w:val="21"/>
          <w:szCs w:val="21"/>
        </w:rPr>
        <w:t xml:space="preserve">Per your notes, profit is reported three ways, side by side, always as monetary values: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00"/>
        <w:gridCol w:w="4600"/>
        <w:gridCol w:w="2900"/>
      </w:tblGrid>
      <w:tr>
        <w:tc>
          <w:tcPr>
            <w:tcW w:type="dxa" w:w="2300"/>
            <w:shd w:fill="F3F4F6" w:val="clear"/>
            <w:tcMar>
              <w:top w:type="dxa" w:w="60"/>
              <w:left w:type="dxa" w:w="100"/>
              <w:bottom w:type="dxa" w:w="60"/>
              <w:right w:type="dxa" w:w="100"/>
            </w:tcMar>
          </w:tcPr>
          <w:p>
            <w:pPr>
              <w:jc w:val="left"/>
            </w:pPr>
            <w:r>
              <w:rPr>
                <w:b/>
                <w:bCs/>
                <w:sz w:val="19"/>
                <w:szCs w:val="19"/>
              </w:rPr>
              <w:t xml:space="preserve">Measure</w:t>
            </w:r>
          </w:p>
        </w:tc>
        <w:tc>
          <w:tcPr>
            <w:tcW w:type="dxa" w:w="4600"/>
            <w:shd w:fill="F3F4F6" w:val="clear"/>
            <w:tcMar>
              <w:top w:type="dxa" w:w="60"/>
              <w:left w:type="dxa" w:w="100"/>
              <w:bottom w:type="dxa" w:w="60"/>
              <w:right w:type="dxa" w:w="100"/>
            </w:tcMar>
          </w:tcPr>
          <w:p>
            <w:pPr>
              <w:jc w:val="left"/>
            </w:pPr>
            <w:r>
              <w:rPr>
                <w:b/>
                <w:bCs/>
                <w:sz w:val="19"/>
                <w:szCs w:val="19"/>
              </w:rPr>
              <w:t xml:space="preserve">Calculation</w:t>
            </w:r>
          </w:p>
        </w:tc>
        <w:tc>
          <w:tcPr>
            <w:tcW w:type="dxa" w:w="2900"/>
            <w:shd w:fill="F3F4F6" w:val="clear"/>
            <w:tcMar>
              <w:top w:type="dxa" w:w="60"/>
              <w:left w:type="dxa" w:w="100"/>
              <w:bottom w:type="dxa" w:w="60"/>
              <w:right w:type="dxa" w:w="100"/>
            </w:tcMar>
          </w:tcPr>
          <w:p>
            <w:pPr>
              <w:jc w:val="left"/>
            </w:pPr>
            <w:r>
              <w:rPr>
                <w:b/>
                <w:bCs/>
                <w:sz w:val="19"/>
                <w:szCs w:val="19"/>
              </w:rPr>
              <w:t xml:space="preserve">Answers</w:t>
            </w:r>
          </w:p>
        </w:tc>
      </w:tr>
      <w:tr>
        <w:tc>
          <w:tcPr>
            <w:tcW w:type="dxa" w:w="2300"/>
            <w:tcMar>
              <w:top w:type="dxa" w:w="60"/>
              <w:left w:type="dxa" w:w="100"/>
              <w:bottom w:type="dxa" w:w="60"/>
              <w:right w:type="dxa" w:w="100"/>
            </w:tcMar>
          </w:tcPr>
          <w:p>
            <w:pPr>
              <w:jc w:val="left"/>
            </w:pPr>
            <w:r>
              <w:rPr>
                <w:b/>
                <w:bCs/>
                <w:sz w:val="19"/>
                <w:szCs w:val="19"/>
              </w:rPr>
              <w:t xml:space="preserve">Current profit</w:t>
            </w:r>
          </w:p>
        </w:tc>
        <w:tc>
          <w:tcPr>
            <w:tcW w:type="dxa" w:w="4600"/>
            <w:tcMar>
              <w:top w:type="dxa" w:w="60"/>
              <w:left w:type="dxa" w:w="100"/>
              <w:bottom w:type="dxa" w:w="60"/>
              <w:right w:type="dxa" w:w="100"/>
            </w:tcMar>
          </w:tcPr>
          <w:p>
            <w:pPr>
              <w:jc w:val="left"/>
            </w:pPr>
            <w:r>
              <w:rPr>
                <w:b w:val="false"/>
                <w:bCs w:val="false"/>
                <w:sz w:val="19"/>
                <w:szCs w:val="19"/>
              </w:rPr>
              <w:t xml:space="preserve">Claimed to date − costs to date</w:t>
            </w:r>
          </w:p>
        </w:tc>
        <w:tc>
          <w:tcPr>
            <w:tcW w:type="dxa" w:w="2900"/>
            <w:tcMar>
              <w:top w:type="dxa" w:w="60"/>
              <w:left w:type="dxa" w:w="100"/>
              <w:bottom w:type="dxa" w:w="60"/>
              <w:right w:type="dxa" w:w="100"/>
            </w:tcMar>
          </w:tcPr>
          <w:p>
            <w:pPr>
              <w:jc w:val="left"/>
            </w:pPr>
            <w:r>
              <w:rPr>
                <w:b w:val="false"/>
                <w:bCs w:val="false"/>
                <w:sz w:val="19"/>
                <w:szCs w:val="19"/>
              </w:rPr>
              <w:t xml:space="preserve">Where are we right now?</w:t>
            </w:r>
          </w:p>
        </w:tc>
      </w:tr>
      <w:tr>
        <w:tc>
          <w:tcPr>
            <w:tcW w:type="dxa" w:w="2300"/>
            <w:tcMar>
              <w:top w:type="dxa" w:w="60"/>
              <w:left w:type="dxa" w:w="100"/>
              <w:bottom w:type="dxa" w:w="60"/>
              <w:right w:type="dxa" w:w="100"/>
            </w:tcMar>
          </w:tcPr>
          <w:p>
            <w:pPr>
              <w:jc w:val="left"/>
            </w:pPr>
            <w:r>
              <w:rPr>
                <w:b/>
                <w:bCs/>
                <w:sz w:val="19"/>
                <w:szCs w:val="19"/>
              </w:rPr>
              <w:t xml:space="preserve">Forecast profit</w:t>
            </w:r>
          </w:p>
        </w:tc>
        <w:tc>
          <w:tcPr>
            <w:tcW w:type="dxa" w:w="4600"/>
            <w:tcMar>
              <w:top w:type="dxa" w:w="60"/>
              <w:left w:type="dxa" w:w="100"/>
              <w:bottom w:type="dxa" w:w="60"/>
              <w:right w:type="dxa" w:w="100"/>
            </w:tcMar>
          </w:tcPr>
          <w:p>
            <w:pPr>
              <w:jc w:val="left"/>
            </w:pPr>
            <w:r>
              <w:rPr>
                <w:b w:val="false"/>
                <w:bCs w:val="false"/>
                <w:sz w:val="19"/>
                <w:szCs w:val="19"/>
              </w:rPr>
              <w:t xml:space="preserve">Contract Sales Value − Forecasted Cost of Sales</w:t>
            </w:r>
          </w:p>
        </w:tc>
        <w:tc>
          <w:tcPr>
            <w:tcW w:type="dxa" w:w="2900"/>
            <w:tcMar>
              <w:top w:type="dxa" w:w="60"/>
              <w:left w:type="dxa" w:w="100"/>
              <w:bottom w:type="dxa" w:w="60"/>
              <w:right w:type="dxa" w:w="100"/>
            </w:tcMar>
          </w:tcPr>
          <w:p>
            <w:pPr>
              <w:jc w:val="left"/>
            </w:pPr>
            <w:r>
              <w:rPr>
                <w:b w:val="false"/>
                <w:bCs w:val="false"/>
                <w:sz w:val="19"/>
                <w:szCs w:val="19"/>
              </w:rPr>
              <w:t xml:space="preserve">Where will we land?</w:t>
            </w:r>
          </w:p>
        </w:tc>
      </w:tr>
      <w:tr>
        <w:tc>
          <w:tcPr>
            <w:tcW w:type="dxa" w:w="2300"/>
            <w:tcMar>
              <w:top w:type="dxa" w:w="60"/>
              <w:left w:type="dxa" w:w="100"/>
              <w:bottom w:type="dxa" w:w="60"/>
              <w:right w:type="dxa" w:w="100"/>
            </w:tcMar>
          </w:tcPr>
          <w:p>
            <w:pPr>
              <w:jc w:val="left"/>
            </w:pPr>
            <w:r>
              <w:rPr>
                <w:b/>
                <w:bCs/>
                <w:sz w:val="19"/>
                <w:szCs w:val="19"/>
              </w:rPr>
              <w:t xml:space="preserve">Budget profit</w:t>
            </w:r>
          </w:p>
        </w:tc>
        <w:tc>
          <w:tcPr>
            <w:tcW w:type="dxa" w:w="4600"/>
            <w:tcMar>
              <w:top w:type="dxa" w:w="60"/>
              <w:left w:type="dxa" w:w="100"/>
              <w:bottom w:type="dxa" w:w="60"/>
              <w:right w:type="dxa" w:w="100"/>
            </w:tcMar>
          </w:tcPr>
          <w:p>
            <w:pPr>
              <w:jc w:val="left"/>
            </w:pPr>
            <w:r>
              <w:rPr>
                <w:b w:val="false"/>
                <w:bCs w:val="false"/>
                <w:sz w:val="19"/>
                <w:szCs w:val="19"/>
              </w:rPr>
              <w:t xml:space="preserve">Contract Sales Value − Target Cost Value (the standard margin)</w:t>
            </w:r>
          </w:p>
        </w:tc>
        <w:tc>
          <w:tcPr>
            <w:tcW w:type="dxa" w:w="2900"/>
            <w:tcMar>
              <w:top w:type="dxa" w:w="60"/>
              <w:left w:type="dxa" w:w="100"/>
              <w:bottom w:type="dxa" w:w="60"/>
              <w:right w:type="dxa" w:w="100"/>
            </w:tcMar>
          </w:tcPr>
          <w:p>
            <w:pPr>
              <w:jc w:val="left"/>
            </w:pPr>
            <w:r>
              <w:rPr>
                <w:b w:val="false"/>
                <w:bCs w:val="false"/>
                <w:sz w:val="19"/>
                <w:szCs w:val="19"/>
              </w:rPr>
              <w:t xml:space="preserve">Where should we land?</w:t>
            </w:r>
          </w:p>
        </w:tc>
      </w:tr>
    </w:tbl>
    <w:p>
      <w:pPr>
        <w:spacing w:after="120"/>
      </w:pPr>
    </w:p>
    <w:p>
      <w:pPr>
        <w:spacing w:after="120" w:line="276"/>
      </w:pPr>
      <w:r>
        <w:rPr>
          <w:sz w:val="21"/>
          <w:szCs w:val="21"/>
        </w:rPr>
        <w:t xml:space="preserve">On “Moving Drawdown to £0 available and then Profit is the above”: we read this as — as forecasting matures, every line’s target is either committed, phased or released, drawdown trends to £0, and the headline number becomes Forecast profit rather than a remainder realised only when a line is locked. The lock would still exist (to freeze a finished line and bank its result), but profit reporting would no longer wait for it.</w:t>
      </w:r>
    </w:p>
    <w:p>
      <w:pPr>
        <w:spacing w:after="80" w:before="120"/>
      </w:pPr>
      <w:r>
        <w:rPr>
          <w:b/>
          <w:bCs/>
          <w:color w:val="6B7280"/>
          <w:sz w:val="21"/>
          <w:szCs w:val="21"/>
        </w:rPr>
        <w:t xml:space="preserve">Questions for you</w:t>
      </w:r>
    </w:p>
    <w:p>
      <w:pPr>
        <w:pStyle w:val="ListParagraph"/>
        <w:numPr>
          <w:ilvl w:val="0"/>
          <w:numId w:val="3"/>
        </w:numPr>
        <w:spacing w:after="80" w:line="276"/>
      </w:pPr>
      <w:r>
        <w:rPr>
          <w:sz w:val="21"/>
          <w:szCs w:val="21"/>
        </w:rPr>
        <w:t xml:space="preserve">“Current costs” in Current profit — Actual Cost of Sales (invoiced spend), or Forecasted Cost of Sales to date? We propose Actual.</w:t>
      </w:r>
    </w:p>
    <w:p>
      <w:pPr>
        <w:pStyle w:val="ListParagraph"/>
        <w:numPr>
          <w:ilvl w:val="0"/>
          <w:numId w:val="3"/>
        </w:numPr>
        <w:spacing w:after="80" w:line="276"/>
      </w:pPr>
      <w:r>
        <w:rPr>
          <w:sz w:val="21"/>
          <w:szCs w:val="21"/>
        </w:rPr>
        <w:t xml:space="preserve">Do you agree the lock stays as a freeze mechanism, with profit reported continuously from the three measures above?</w:t>
      </w:r>
    </w:p>
    <w:p>
      <w:pPr>
        <w:pStyle w:val="ListParagraph"/>
        <w:numPr>
          <w:ilvl w:val="0"/>
          <w:numId w:val="3"/>
        </w:numPr>
        <w:spacing w:after="80" w:line="276"/>
      </w:pPr>
      <w:r>
        <w:rPr>
          <w:sz w:val="21"/>
          <w:szCs w:val="21"/>
        </w:rPr>
        <w:t xml:space="preserve">Budget profit — confirm the standard margin the portal should carry (you mentioned 10%).</w:t>
      </w:r>
    </w:p>
    <w:p>
      <w:pPr>
        <w:pStyle w:val="Heading1"/>
        <w:spacing w:after="120" w:before="280"/>
      </w:pPr>
      <w:r>
        <w:rPr>
          <w:b/>
          <w:bCs/>
          <w:color w:val="111827"/>
          <w:sz w:val="26"/>
          <w:szCs w:val="26"/>
        </w:rPr>
        <w:t xml:space="preserve">6. Workstream D — FD dashboard</w:t>
      </w:r>
    </w:p>
    <w:p>
      <w:pPr>
        <w:spacing w:after="120" w:line="276"/>
      </w:pPr>
      <w:r>
        <w:rPr>
          <w:sz w:val="21"/>
          <w:szCs w:val="21"/>
        </w:rPr>
        <w:t xml:space="preserve">A finance view keeping the first five columns of the financial summary (Code, Cost Centre, Contract Sales Value, % Complete, Claim Value), followed by the forecast columns and the three profit measures — all in £.</w:t>
      </w:r>
    </w:p>
    <w:p>
      <w:pPr>
        <w:spacing w:after="80" w:before="120"/>
      </w:pPr>
      <w:r>
        <w:rPr>
          <w:b/>
          <w:bCs/>
          <w:color w:val="6B7280"/>
          <w:sz w:val="21"/>
          <w:szCs w:val="21"/>
        </w:rPr>
        <w:t xml:space="preserve">Questions for you</w:t>
      </w:r>
    </w:p>
    <w:p>
      <w:pPr>
        <w:pStyle w:val="ListParagraph"/>
        <w:numPr>
          <w:ilvl w:val="0"/>
          <w:numId w:val="3"/>
        </w:numPr>
        <w:spacing w:after="80" w:line="276"/>
      </w:pPr>
      <w:r>
        <w:rPr>
          <w:sz w:val="21"/>
          <w:szCs w:val="21"/>
        </w:rPr>
        <w:t xml:space="preserve">Is this per project, across all live projects, or both (a group roll-up that drills into each project)?</w:t>
      </w:r>
    </w:p>
    <w:p>
      <w:pPr>
        <w:pStyle w:val="ListParagraph"/>
        <w:numPr>
          <w:ilvl w:val="0"/>
          <w:numId w:val="3"/>
        </w:numPr>
        <w:spacing w:after="80" w:line="276"/>
      </w:pPr>
      <w:r>
        <w:rPr>
          <w:sz w:val="21"/>
          <w:szCs w:val="21"/>
        </w:rPr>
        <w:t xml:space="preserve">Who sees it — finance only, or directors too?</w:t>
      </w:r>
    </w:p>
    <w:p>
      <w:pPr>
        <w:pStyle w:val="Heading1"/>
        <w:spacing w:after="120" w:before="280"/>
      </w:pPr>
      <w:r>
        <w:rPr>
          <w:b/>
          <w:bCs/>
          <w:color w:val="111827"/>
          <w:sz w:val="26"/>
          <w:szCs w:val="26"/>
        </w:rPr>
        <w:t xml:space="preserve">7. Workstream E — Raising WOs for materials against drawdown</w:t>
      </w:r>
    </w:p>
    <w:p>
      <w:pPr>
        <w:spacing w:after="120" w:line="276"/>
      </w:pPr>
      <w:r>
        <w:rPr>
          <w:sz w:val="21"/>
          <w:szCs w:val="21"/>
        </w:rPr>
        <w:t xml:space="preserve">Your note “Raise drawdown WO’s for materials”: we read this as bringing materials purchasing into the work-order pipeline — raising orders against a line’s remaining drawdown — so spend that today lands as Non-WO becomes committed up front and the forecast tightens. This is a meaningful procurement feature and we suggest scoping it separately once A–D are agreed.</w:t>
      </w:r>
    </w:p>
    <w:p>
      <w:pPr>
        <w:spacing w:after="80" w:before="120"/>
      </w:pPr>
      <w:r>
        <w:rPr>
          <w:b/>
          <w:bCs/>
          <w:color w:val="6B7280"/>
          <w:sz w:val="21"/>
          <w:szCs w:val="21"/>
        </w:rPr>
        <w:t xml:space="preserve">Questions for you</w:t>
      </w:r>
    </w:p>
    <w:p>
      <w:pPr>
        <w:pStyle w:val="ListParagraph"/>
        <w:numPr>
          <w:ilvl w:val="0"/>
          <w:numId w:val="3"/>
        </w:numPr>
        <w:spacing w:after="80" w:line="276"/>
      </w:pPr>
      <w:r>
        <w:rPr>
          <w:sz w:val="21"/>
          <w:szCs w:val="21"/>
        </w:rPr>
        <w:t xml:space="preserve">Confirm the intent: materials ordered through WOs against drawdown, reducing the Non-WO bucket over time?</w:t>
      </w:r>
    </w:p>
    <w:p>
      <w:pPr>
        <w:pStyle w:val="Heading1"/>
        <w:spacing w:after="120" w:before="280"/>
      </w:pPr>
      <w:r>
        <w:rPr>
          <w:b/>
          <w:bCs/>
          <w:color w:val="111827"/>
          <w:sz w:val="26"/>
          <w:szCs w:val="26"/>
        </w:rPr>
        <w:t xml:space="preserve">8. Suggested order of delivery</w:t>
      </w:r>
    </w:p>
    <w:p>
      <w:pPr>
        <w:pStyle w:val="ListParagraph"/>
        <w:numPr>
          <w:ilvl w:val="0"/>
          <w:numId w:val="2"/>
        </w:numPr>
        <w:spacing w:after="80" w:line="276"/>
      </w:pPr>
      <w:r>
        <w:rPr>
          <w:sz w:val="21"/>
          <w:szCs w:val="21"/>
        </w:rPr>
        <w:t xml:space="preserve">First — Workstream C (profit measures) and D (FD dashboard): fastest to deliver, all inputs already exist.</w:t>
      </w:r>
    </w:p>
    <w:p>
      <w:pPr>
        <w:pStyle w:val="ListParagraph"/>
        <w:numPr>
          <w:ilvl w:val="0"/>
          <w:numId w:val="2"/>
        </w:numPr>
        <w:spacing w:after="80" w:line="276"/>
      </w:pPr>
      <w:r>
        <w:rPr>
          <w:sz w:val="21"/>
          <w:szCs w:val="21"/>
        </w:rPr>
        <w:t xml:space="preserve">Second — Workstream A (phased forecast grid + Excel export).</w:t>
      </w:r>
    </w:p>
    <w:p>
      <w:pPr>
        <w:pStyle w:val="ListParagraph"/>
        <w:numPr>
          <w:ilvl w:val="0"/>
          <w:numId w:val="2"/>
        </w:numPr>
        <w:spacing w:after="80" w:line="276"/>
      </w:pPr>
      <w:r>
        <w:rPr>
          <w:sz w:val="21"/>
          <w:szCs w:val="21"/>
        </w:rPr>
        <w:t xml:space="preserve">Third — Workstream B (change tracking, snapshots, approvals) — designed alongside A so history is captured from day one.</w:t>
      </w:r>
    </w:p>
    <w:p>
      <w:pPr>
        <w:pStyle w:val="ListParagraph"/>
        <w:numPr>
          <w:ilvl w:val="0"/>
          <w:numId w:val="2"/>
        </w:numPr>
        <w:spacing w:after="80" w:line="276"/>
      </w:pPr>
      <w:r>
        <w:rPr>
          <w:sz w:val="21"/>
          <w:szCs w:val="21"/>
        </w:rPr>
        <w:t xml:space="preserve">Then — Workstream E (materials WOs), scoped on its own.</w:t>
      </w:r>
    </w:p>
    <w:p>
      <w:pPr>
        <w:spacing w:after="120" w:line="276"/>
      </w:pPr>
      <w:r>
        <w:rPr>
          <w:sz w:val="21"/>
          <w:szCs w:val="21"/>
        </w:rPr>
        <w:t xml:space="preserve">Please mark up this document or reply against the question numbers — once agreed, we’ll build to it.</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15"/>
      </w:pPr>
    </w:lvl>
  </w:abstractNum>
  <w:abstractNum w:abstractNumId="3" w15:restartNumberingAfterBreak="0">
    <w:multiLevelType w:val="hybridMultilevel"/>
    <w:lvl w:ilvl="0" w15:tentative="1">
      <w:start w:val="1"/>
      <w:numFmt w:val="decimal"/>
      <w:lvlText w:val="Q%1."/>
      <w:lvlJc w:val="left"/>
      <w:pPr>
        <w:ind w:left="504" w:hanging="504"/>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2026-07-20T12:24:26.623Z</dcterms:created>
  <dcterms:modified xsi:type="dcterms:W3CDTF">2026-07-20T12:24:26.626Z</dcterms:modified>
</cp:coreProperties>
</file>

<file path=docProps/custom.xml><?xml version="1.0" encoding="utf-8"?>
<Properties xmlns="http://schemas.openxmlformats.org/officeDocument/2006/custom-properties" xmlns:vt="http://schemas.openxmlformats.org/officeDocument/2006/docPropsVTypes"/>
</file>