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320" w:before="250" w:line="240" w:lineRule="auto"/>
        <w:rPr>
          <w:rFonts w:ascii="Open Sans" w:cs="Open Sans" w:eastAsia="Open Sans" w:hAnsi="Open Sans"/>
          <w:b w:val="1"/>
          <w:sz w:val="52"/>
          <w:szCs w:val="5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52"/>
          <w:szCs w:val="52"/>
          <w:highlight w:val="white"/>
          <w:rtl w:val="0"/>
        </w:rPr>
        <w:t xml:space="preserve">RVI &amp; KC 策略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80" w:before="449" w:line="240" w:lineRule="auto"/>
        <w:ind w:left="0" w:right="720" w:firstLine="0"/>
        <w:jc w:val="both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本篇目錄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pBdr>
          <w:left w:color="000000" w:space="0" w:sz="0" w:val="none"/>
        </w:pBdr>
        <w:spacing w:before="449" w:line="240" w:lineRule="auto"/>
        <w:ind w:left="300" w:hanging="360"/>
        <w:jc w:val="both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策略發想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pBdr>
          <w:left w:color="000000" w:space="0" w:sz="0" w:val="none"/>
        </w:pBdr>
        <w:spacing w:before="239" w:line="240" w:lineRule="auto"/>
        <w:ind w:left="300" w:hanging="360"/>
        <w:jc w:val="both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python回測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both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80" w:before="449" w:line="240" w:lineRule="auto"/>
        <w:jc w:val="both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本文重點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80" w:before="449" w:line="240" w:lineRule="auto"/>
        <w:jc w:val="both"/>
        <w:rPr>
          <w:rFonts w:ascii="Open Sans" w:cs="Open Sans" w:eastAsia="Open Sans" w:hAnsi="Open Sans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利用KC步道過濾雜訊，結合RVI指標判斷波動度強弱進出場，並利用python進行回測。</w:t>
      </w:r>
    </w:p>
    <w:p w:rsidR="00000000" w:rsidDel="00000000" w:rsidP="00000000" w:rsidRDefault="00000000" w:rsidRPr="00000000" w14:paraId="00000008">
      <w:pPr>
        <w:shd w:fill="ffffff" w:val="clear"/>
        <w:spacing w:after="280" w:before="449" w:line="240" w:lineRule="auto"/>
        <w:jc w:val="both"/>
        <w:rPr>
          <w:rFonts w:ascii="Open Sans" w:cs="Open Sans" w:eastAsia="Open Sans" w:hAnsi="Open San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shd w:fill="ffffff" w:val="clear"/>
        <w:spacing w:after="280" w:before="409" w:line="240" w:lineRule="auto"/>
        <w:rPr>
          <w:rFonts w:ascii="Open Sans" w:cs="Open Sans" w:eastAsia="Open Sans" w:hAnsi="Open Sans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highlight w:val="white"/>
          <w:rtl w:val="0"/>
        </w:rPr>
        <w:t xml:space="preserve">策略發想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Open Sans" w:cs="Open Sans" w:eastAsia="Open Sans" w:hAnsi="Open Sans"/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波動度</w:t>
      </w:r>
    </w:p>
    <w:p w:rsidR="00000000" w:rsidDel="00000000" w:rsidP="00000000" w:rsidRDefault="00000000" w:rsidRPr="00000000" w14:paraId="0000000B">
      <w:pPr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虛擬市場的波動度相當大，因此如何判斷正常的波動、虛假的成長動能就格外重要。也能這麼說，小的波動可以看成是震盪，我不予理會。大的波動代表有一波大行情，能視為反轉或趨勢的訊號。</w:t>
      </w:r>
    </w:p>
    <w:p w:rsidR="00000000" w:rsidDel="00000000" w:rsidP="00000000" w:rsidRDefault="00000000" w:rsidRPr="00000000" w14:paraId="0000000C">
      <w:pPr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因此，此策略採取的指標皆與波動度相關。也就是標題所示：RVI 以及KC Channel 指標。</w:t>
      </w:r>
    </w:p>
    <w:p w:rsidR="00000000" w:rsidDel="00000000" w:rsidP="00000000" w:rsidRDefault="00000000" w:rsidRPr="00000000" w14:paraId="0000000D">
      <w:pPr>
        <w:ind w:left="0" w:firstLine="0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Open Sans" w:cs="Open Sans" w:eastAsia="Open Sans" w:hAnsi="Open Sans"/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KC指標</w:t>
      </w:r>
    </w:p>
    <w:p w:rsidR="00000000" w:rsidDel="00000000" w:rsidP="00000000" w:rsidRDefault="00000000" w:rsidRPr="00000000" w14:paraId="0000000F">
      <w:pPr>
        <w:ind w:left="0" w:firstLine="0"/>
        <w:rPr>
          <w:rFonts w:ascii="Open Sans" w:cs="Open Sans" w:eastAsia="Open Sans" w:hAnsi="Open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全名為Keltner channel，中文名稱為肯特納通道。</w:t>
      </w:r>
    </w:p>
    <w:p w:rsidR="00000000" w:rsidDel="00000000" w:rsidP="00000000" w:rsidRDefault="00000000" w:rsidRPr="00000000" w14:paraId="00000011">
      <w:pPr>
        <w:ind w:left="0" w:firstLine="0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步道的寬度可視作市場波動性的大小，越寬波動度越大、越窄波動度越小。</w:t>
      </w:r>
    </w:p>
    <w:p w:rsidR="00000000" w:rsidDel="00000000" w:rsidP="00000000" w:rsidRDefault="00000000" w:rsidRPr="00000000" w14:paraId="00000012">
      <w:pPr>
        <w:ind w:left="0" w:firstLine="0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在步道內視為正常震盪，步道外則能多多關注，搭配其他指標作為進出場訊號。</w:t>
      </w:r>
    </w:p>
    <w:p w:rsidR="00000000" w:rsidDel="00000000" w:rsidP="00000000" w:rsidRDefault="00000000" w:rsidRPr="00000000" w14:paraId="00000013">
      <w:pPr>
        <w:ind w:left="0" w:firstLine="0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計算方式</w:t>
      </w:r>
    </w:p>
    <w:p w:rsidR="00000000" w:rsidDel="00000000" w:rsidP="00000000" w:rsidRDefault="00000000" w:rsidRPr="00000000" w14:paraId="00000015">
      <w:pPr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此通道分為三軌，以中軌EMA（指數移動平均，賦予近期價格較高的權重）為基礎，利用 ATR（平均真實範圍，可衡量價格的真實波動幅度）進行乖離。</w:t>
      </w:r>
    </w:p>
    <w:p w:rsidR="00000000" w:rsidDel="00000000" w:rsidP="00000000" w:rsidRDefault="00000000" w:rsidRPr="00000000" w14:paraId="00000016">
      <w:pPr>
        <w:ind w:left="0" w:firstLine="0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中軌：EMA</w:t>
      </w:r>
    </w:p>
    <w:p w:rsidR="00000000" w:rsidDel="00000000" w:rsidP="00000000" w:rsidRDefault="00000000" w:rsidRPr="00000000" w14:paraId="00000017">
      <w:pPr>
        <w:ind w:left="0" w:firstLine="0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上軌：EMA + 倍數*ATR</w:t>
      </w:r>
    </w:p>
    <w:p w:rsidR="00000000" w:rsidDel="00000000" w:rsidP="00000000" w:rsidRDefault="00000000" w:rsidRPr="00000000" w14:paraId="00000018">
      <w:pPr>
        <w:ind w:left="0" w:firstLine="0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下軌：EMA  - 倍數*ATR</w:t>
      </w:r>
    </w:p>
    <w:p w:rsidR="00000000" w:rsidDel="00000000" w:rsidP="00000000" w:rsidRDefault="00000000" w:rsidRPr="00000000" w14:paraId="00000019">
      <w:pPr>
        <w:ind w:left="0" w:firstLine="0"/>
        <w:rPr>
          <w:rFonts w:ascii="Open Sans" w:cs="Open Sans" w:eastAsia="Open Sans" w:hAnsi="Open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此策略利用KC來過濾雜訊，篩選出真正會產生趨勢的大波動時機。</w:t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shd w:fill="ffffff" w:val="clear"/>
        <w:spacing w:after="280" w:before="361" w:line="240" w:lineRule="auto"/>
        <w:rPr>
          <w:rFonts w:ascii="Open Sans" w:cs="Open Sans" w:eastAsia="Open Sans" w:hAnsi="Open Sans"/>
          <w:b w:val="1"/>
          <w:sz w:val="28"/>
          <w:szCs w:val="28"/>
          <w:highlight w:val="white"/>
        </w:rPr>
      </w:pPr>
      <w:bookmarkStart w:colFirst="0" w:colLast="0" w:name="_sdgdx9r9zkud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white"/>
          <w:rtl w:val="0"/>
        </w:rPr>
        <w:t xml:space="preserve">RVI 指標</w:t>
      </w:r>
    </w:p>
    <w:p w:rsidR="00000000" w:rsidDel="00000000" w:rsidP="00000000" w:rsidRDefault="00000000" w:rsidRPr="00000000" w14:paraId="0000001C">
      <w:pPr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全名為 Relative volatility Index ，中文稱相對波動強度指標。</w:t>
      </w:r>
    </w:p>
    <w:p w:rsidR="00000000" w:rsidDel="00000000" w:rsidP="00000000" w:rsidRDefault="00000000" w:rsidRPr="00000000" w14:paraId="0000001D">
      <w:pPr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此指標可以幫助投資者理解市場趨勢和波動性。當數值越大，市場波動性越大，越容易產生趨勢。</w:t>
      </w:r>
    </w:p>
    <w:p w:rsidR="00000000" w:rsidDel="00000000" w:rsidP="00000000" w:rsidRDefault="00000000" w:rsidRPr="00000000" w14:paraId="0000001E">
      <w:pPr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計算方式</w:t>
      </w:r>
    </w:p>
    <w:p w:rsidR="00000000" w:rsidDel="00000000" w:rsidP="00000000" w:rsidRDefault="00000000" w:rsidRPr="00000000" w14:paraId="00000020">
      <w:pPr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值介於 0~100，當值超過某一門檻，可視為波動度上升。反之，波動度下降。</w:t>
      </w:r>
    </w:p>
    <w:p w:rsidR="00000000" w:rsidDel="00000000" w:rsidP="00000000" w:rsidRDefault="00000000" w:rsidRPr="00000000" w14:paraId="00000021">
      <w:pPr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RVI = ( Sum of Upward RV ) / ( Sum of total RV ) * 100</w:t>
      </w:r>
    </w:p>
    <w:p w:rsidR="00000000" w:rsidDel="00000000" w:rsidP="00000000" w:rsidRDefault="00000000" w:rsidRPr="00000000" w14:paraId="00000022">
      <w:pPr>
        <w:ind w:firstLine="720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RV（Relative Price) = (收盤價 - 開盤價）/（最高價 - 最低價）</w:t>
      </w:r>
    </w:p>
    <w:p w:rsidR="00000000" w:rsidDel="00000000" w:rsidP="00000000" w:rsidRDefault="00000000" w:rsidRPr="00000000" w14:paraId="00000023">
      <w:pPr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Upward RV = 今日RV大於前一日RV</w:t>
      </w:r>
    </w:p>
    <w:p w:rsidR="00000000" w:rsidDel="00000000" w:rsidP="00000000" w:rsidRDefault="00000000" w:rsidRPr="00000000" w14:paraId="00000024">
      <w:pPr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Open Sans" w:cs="Open Sans" w:eastAsia="Open Sans" w:hAnsi="Open Sans"/>
          <w:b w:val="1"/>
          <w:color w:val="cc00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此策略利用 RVI 指標來波動的強弱：當 RVI 大於近日來 RVI 的平均，則可視為足夠強烈，為做多或賣空時機點 ; 反之則是做空或賣多時機點。</w:t>
      </w:r>
      <w:r w:rsidDel="00000000" w:rsidR="00000000" w:rsidRPr="00000000">
        <w:rPr>
          <w:rFonts w:ascii="Arial Unicode MS" w:cs="Arial Unicode MS" w:eastAsia="Arial Unicode MS" w:hAnsi="Arial Unicode MS"/>
          <w:color w:val="cc0000"/>
          <w:sz w:val="28"/>
          <w:szCs w:val="28"/>
          <w:rtl w:val="0"/>
        </w:rPr>
        <w:t xml:space="preserve">（買入空單有問題，因只是波動度減弱（市場蕭條？））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hd w:fill="ffffff" w:val="clear"/>
        <w:spacing w:after="280" w:before="361" w:line="240" w:lineRule="auto"/>
        <w:rPr>
          <w:rFonts w:ascii="Open Sans" w:cs="Open Sans" w:eastAsia="Open Sans" w:hAnsi="Open Sans"/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white"/>
          <w:rtl w:val="0"/>
        </w:rPr>
        <w:t xml:space="preserve">多空進出場邏輯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80" w:before="197" w:line="240" w:lineRule="auto"/>
        <w:jc w:val="both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white"/>
          <w:rtl w:val="0"/>
        </w:rPr>
        <w:t xml:space="preserve">多倉進場時機：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hd w:fill="ffffff" w:val="clear"/>
        <w:spacing w:after="0" w:afterAutospacing="0" w:before="449" w:line="240" w:lineRule="auto"/>
        <w:ind w:left="720" w:hanging="360"/>
        <w:jc w:val="both"/>
        <w:rPr>
          <w:rFonts w:ascii="Open Sans" w:cs="Open Sans" w:eastAsia="Open Sans" w:hAnsi="Open Sans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當收盤價超過 KC 上軌（波動度極高）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hd w:fill="ffffff" w:val="clear"/>
        <w:spacing w:after="280" w:before="0" w:beforeAutospacing="0" w:line="240" w:lineRule="auto"/>
        <w:ind w:left="720" w:hanging="360"/>
        <w:jc w:val="both"/>
        <w:rPr>
          <w:rFonts w:ascii="Open Sans" w:cs="Open Sans" w:eastAsia="Open Sans" w:hAnsi="Open Sans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RVI &gt; RVI_MA （驗證波動度足夠強烈）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80" w:before="449" w:line="240" w:lineRule="auto"/>
        <w:jc w:val="both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white"/>
          <w:rtl w:val="0"/>
        </w:rPr>
        <w:t xml:space="preserve">多倉出場時機：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hd w:fill="ffffff" w:val="clear"/>
        <w:spacing w:after="0" w:afterAutospacing="0" w:before="449" w:line="240" w:lineRule="auto"/>
        <w:ind w:left="720" w:hanging="360"/>
        <w:jc w:val="both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收盤價跌落 KC 中軌（波動度不僅降回正常值，更低於平均值）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hd w:fill="ffffff" w:val="clear"/>
        <w:spacing w:after="280" w:before="0" w:beforeAutospacing="0" w:line="240" w:lineRule="auto"/>
        <w:ind w:left="720" w:hanging="360"/>
        <w:jc w:val="both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RVI &lt;= RVI_MA （波動度少於近日平均）</w:t>
      </w:r>
    </w:p>
    <w:p w:rsidR="00000000" w:rsidDel="00000000" w:rsidP="00000000" w:rsidRDefault="00000000" w:rsidRPr="00000000" w14:paraId="0000002D">
      <w:pPr>
        <w:shd w:fill="ffffff" w:val="clear"/>
        <w:spacing w:after="280" w:before="449" w:line="240" w:lineRule="auto"/>
        <w:jc w:val="both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                             </w:t>
      </w:r>
      <w:r w:rsidDel="00000000" w:rsidR="00000000" w:rsidRPr="00000000">
        <w:rPr>
          <w:rFonts w:ascii="Open Sans" w:cs="Open Sans" w:eastAsia="Open Sans" w:hAnsi="Open Sans"/>
          <w:sz w:val="28"/>
          <w:szCs w:val="28"/>
        </w:rPr>
        <w:drawing>
          <wp:inline distB="114300" distT="114300" distL="114300" distR="114300">
            <wp:extent cx="2384653" cy="195928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4653" cy="1959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80" w:before="449" w:line="240" w:lineRule="auto"/>
        <w:jc w:val="both"/>
        <w:rPr>
          <w:rFonts w:ascii="Open Sans" w:cs="Open Sans" w:eastAsia="Open Sans" w:hAnsi="Open Sans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white"/>
          <w:rtl w:val="0"/>
        </w:rPr>
        <w:t xml:space="preserve">空倉進場時機：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hd w:fill="ffffff" w:val="clear"/>
        <w:spacing w:after="0" w:afterAutospacing="0" w:before="449" w:line="240" w:lineRule="auto"/>
        <w:ind w:left="720" w:hanging="360"/>
        <w:jc w:val="both"/>
        <w:rPr>
          <w:rFonts w:ascii="Open Sans" w:cs="Open Sans" w:eastAsia="Open Sans" w:hAnsi="Open Sans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收盤價跌落 KC 下軌（波動度極低）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hd w:fill="ffffff" w:val="clear"/>
        <w:spacing w:after="280" w:before="0" w:beforeAutospacing="0" w:line="240" w:lineRule="auto"/>
        <w:ind w:left="720" w:hanging="360"/>
        <w:jc w:val="both"/>
        <w:rPr>
          <w:rFonts w:ascii="Open Sans" w:cs="Open Sans" w:eastAsia="Open Sans" w:hAnsi="Open Sans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RVI &lt; RVI_MA （驗證波動度足夠弱）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80" w:before="449" w:line="240" w:lineRule="auto"/>
        <w:jc w:val="both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white"/>
          <w:rtl w:val="0"/>
        </w:rPr>
        <w:t xml:space="preserve">空倉出場時機：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hd w:fill="ffffff" w:val="clear"/>
        <w:spacing w:after="0" w:afterAutospacing="0" w:before="449" w:line="240" w:lineRule="auto"/>
        <w:ind w:left="720" w:hanging="360"/>
        <w:jc w:val="both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收盤價超越 KC 中軌（波動度不僅升回正常值，還超越平均值）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hd w:fill="ffffff" w:val="clear"/>
        <w:spacing w:after="280" w:before="0" w:beforeAutospacing="0" w:line="240" w:lineRule="auto"/>
        <w:ind w:left="720" w:hanging="360"/>
        <w:jc w:val="both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RVI &gt;= RVI_MA （波動度大於近日平均）</w:t>
      </w:r>
    </w:p>
    <w:p w:rsidR="00000000" w:rsidDel="00000000" w:rsidP="00000000" w:rsidRDefault="00000000" w:rsidRPr="00000000" w14:paraId="00000034">
      <w:pPr>
        <w:shd w:fill="ffffff" w:val="clear"/>
        <w:spacing w:after="280" w:before="449" w:line="240" w:lineRule="auto"/>
        <w:ind w:left="720" w:firstLine="0"/>
        <w:jc w:val="both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             </w:t>
      </w:r>
      <w:r w:rsidDel="00000000" w:rsidR="00000000" w:rsidRPr="00000000">
        <w:rPr>
          <w:rFonts w:ascii="Open Sans" w:cs="Open Sans" w:eastAsia="Open Sans" w:hAnsi="Open Sans"/>
          <w:sz w:val="28"/>
          <w:szCs w:val="28"/>
        </w:rPr>
        <w:drawing>
          <wp:inline distB="114300" distT="114300" distL="114300" distR="114300">
            <wp:extent cx="2518678" cy="2135176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8678" cy="2135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keepNext w:val="0"/>
        <w:keepLines w:val="0"/>
        <w:shd w:fill="ffffff" w:val="clear"/>
        <w:spacing w:after="280" w:before="409" w:line="240" w:lineRule="auto"/>
        <w:rPr>
          <w:rFonts w:ascii="Open Sans" w:cs="Open Sans" w:eastAsia="Open Sans" w:hAnsi="Open Sans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highlight w:val="white"/>
          <w:rtl w:val="0"/>
        </w:rPr>
        <w:t xml:space="preserve">python回測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在進行回測前，先做優化參數的部分。原因是初寫策略時所引用的參數是自己挑的，因此想透過將資料切分成訓練集和測試集尋找最佳參數，利用最佳參數提高策略績效。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資料切分訓練集與測試集：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50% 訓練：2018/1/8 - 2019/12/13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50% 測試：2020/1/8 - 2023/11/26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keepNext w:val="0"/>
        <w:keepLines w:val="0"/>
        <w:shd w:fill="ffffff" w:val="clear"/>
        <w:spacing w:after="280" w:before="361" w:line="240" w:lineRule="auto"/>
        <w:rPr>
          <w:rFonts w:ascii="Open Sans" w:cs="Open Sans" w:eastAsia="Open Sans" w:hAnsi="Open Sans"/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white"/>
          <w:rtl w:val="0"/>
        </w:rPr>
        <w:t xml:space="preserve">訓練集和測試集結果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80" w:before="197" w:line="240" w:lineRule="auto"/>
        <w:jc w:val="both"/>
        <w:rPr>
          <w:rFonts w:ascii="Open Sans" w:cs="Open Sans" w:eastAsia="Open Sans" w:hAnsi="Open Sans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訓練集</w:t>
      </w:r>
    </w:p>
    <w:p w:rsidR="00000000" w:rsidDel="00000000" w:rsidP="00000000" w:rsidRDefault="00000000" w:rsidRPr="00000000" w14:paraId="0000003D">
      <w:pPr>
        <w:shd w:fill="ffffff" w:val="clear"/>
        <w:spacing w:after="280" w:before="197" w:line="240" w:lineRule="auto"/>
        <w:jc w:val="both"/>
        <w:rPr>
          <w:rFonts w:ascii="Open Sans" w:cs="Open Sans" w:eastAsia="Open Sans" w:hAnsi="Open Sans"/>
          <w:sz w:val="28"/>
          <w:szCs w:val="28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8"/>
          <w:szCs w:val="28"/>
          <w:highlight w:val="white"/>
        </w:rPr>
        <w:drawing>
          <wp:inline distB="114300" distT="114300" distL="114300" distR="114300">
            <wp:extent cx="3135068" cy="38272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5068" cy="382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Open Sans" w:cs="Open Sans" w:eastAsia="Open Sans" w:hAnsi="Open Sans"/>
          <w:sz w:val="28"/>
          <w:szCs w:val="28"/>
          <w:highlight w:val="white"/>
        </w:rPr>
        <w:drawing>
          <wp:inline distB="114300" distT="114300" distL="114300" distR="114300">
            <wp:extent cx="3166199" cy="381456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6199" cy="3814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40" w:lineRule="auto"/>
        <w:jc w:val="both"/>
        <w:rPr>
          <w:rFonts w:ascii="Open Sans" w:cs="Open Sans" w:eastAsia="Open Sans" w:hAnsi="Open Sans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測試集</w:t>
      </w:r>
    </w:p>
    <w:p w:rsidR="00000000" w:rsidDel="00000000" w:rsidP="00000000" w:rsidRDefault="00000000" w:rsidRPr="00000000" w14:paraId="0000003F">
      <w:pPr>
        <w:widowControl w:val="0"/>
        <w:spacing w:line="240" w:lineRule="auto"/>
        <w:jc w:val="both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sz w:val="28"/>
          <w:szCs w:val="28"/>
        </w:rPr>
        <w:drawing>
          <wp:inline distB="114300" distT="114300" distL="114300" distR="114300">
            <wp:extent cx="3236817" cy="393440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6817" cy="3934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sz w:val="28"/>
          <w:szCs w:val="28"/>
        </w:rPr>
        <w:drawing>
          <wp:inline distB="114300" distT="114300" distL="114300" distR="114300">
            <wp:extent cx="3158563" cy="380941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8563" cy="3809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40" w:lineRule="auto"/>
        <w:jc w:val="both"/>
        <w:rPr>
          <w:rFonts w:ascii="Open Sans" w:cs="Open Sans" w:eastAsia="Open Sans" w:hAnsi="Open Sans"/>
          <w:sz w:val="28"/>
          <w:szCs w:val="28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80" w:before="449" w:line="240" w:lineRule="auto"/>
        <w:jc w:val="both"/>
        <w:rPr>
          <w:rFonts w:ascii="Open Sans" w:cs="Open Sans" w:eastAsia="Open Sans" w:hAnsi="Open Sans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從0到1完成一個策略十分有趣，每個圖表都能夠檢視自己的邏輯是否有出入。</w:t>
      </w:r>
    </w:p>
    <w:p w:rsidR="00000000" w:rsidDel="00000000" w:rsidP="00000000" w:rsidRDefault="00000000" w:rsidRPr="00000000" w14:paraId="00000042">
      <w:pPr>
        <w:shd w:fill="ffffff" w:val="clear"/>
        <w:spacing w:after="280" w:before="449" w:line="240" w:lineRule="auto"/>
        <w:jc w:val="both"/>
        <w:rPr>
          <w:rFonts w:ascii="Open Sans" w:cs="Open Sans" w:eastAsia="Open Sans" w:hAnsi="Open Sans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例如由圖表可以發現：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hd w:fill="ffffff" w:val="clear"/>
        <w:spacing w:after="0" w:afterAutospacing="0" w:before="449" w:line="240" w:lineRule="auto"/>
        <w:ind w:left="720" w:hanging="360"/>
        <w:jc w:val="both"/>
        <w:rPr>
          <w:rFonts w:ascii="Open Sans" w:cs="Open Sans" w:eastAsia="Open Sans" w:hAnsi="Open Sans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空單收益比多單少不少，因此再檢驗一次自己多空單進出場邏輯。我們的邏輯是當波動度大時會有趨勢產生，但空單的進場時機是波動度極低時，但這並不代表將會有一波下跌趨勢。因此日後會再針對空單的進出場邏輯進行調整。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hd w:fill="ffffff" w:val="clear"/>
        <w:spacing w:after="280" w:before="0" w:beforeAutospacing="0" w:line="240" w:lineRule="auto"/>
        <w:ind w:left="720" w:hanging="360"/>
        <w:jc w:val="both"/>
        <w:rPr>
          <w:rFonts w:ascii="Open Sans" w:cs="Open Sans" w:eastAsia="Open Sans" w:hAnsi="Open Sans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此策略所賺取的皆為小波動行情，當大波動來襲時這個策略無法超越大盤。因此日後想研究大波動下的策略，期望能有互補的效果。</w:t>
      </w:r>
    </w:p>
    <w:p w:rsidR="00000000" w:rsidDel="00000000" w:rsidP="00000000" w:rsidRDefault="00000000" w:rsidRPr="00000000" w14:paraId="00000045">
      <w:pPr>
        <w:shd w:fill="ffffff" w:val="clear"/>
        <w:spacing w:after="280" w:before="449" w:line="240" w:lineRule="auto"/>
        <w:jc w:val="both"/>
        <w:rPr>
          <w:rFonts w:ascii="Open Sans" w:cs="Open Sans" w:eastAsia="Open Sans" w:hAnsi="Open Sans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以上僅是此策略的一個輪廓，目前持續進行著滾動式修正。特別謝謝量化讀書會讓我學習和完成策略，我未來也會再繼續摸索這個領域！</w:t>
      </w:r>
    </w:p>
    <w:p w:rsidR="00000000" w:rsidDel="00000000" w:rsidP="00000000" w:rsidRDefault="00000000" w:rsidRPr="00000000" w14:paraId="00000046">
      <w:pPr>
        <w:shd w:fill="ffffff" w:val="clear"/>
        <w:spacing w:after="280" w:before="449" w:line="240" w:lineRule="auto"/>
        <w:jc w:val="both"/>
        <w:rPr>
          <w:rFonts w:ascii="Open Sans" w:cs="Open Sans" w:eastAsia="Open Sans" w:hAnsi="Open Sans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如果你有想法，也歡迎和我交流喔！</w:t>
      </w:r>
    </w:p>
    <w:p w:rsidR="00000000" w:rsidDel="00000000" w:rsidP="00000000" w:rsidRDefault="00000000" w:rsidRPr="00000000" w14:paraId="00000047">
      <w:pPr>
        <w:pStyle w:val="Heading1"/>
        <w:keepNext w:val="0"/>
        <w:keepLines w:val="0"/>
        <w:shd w:fill="ffffff" w:val="clear"/>
        <w:spacing w:after="280" w:before="409" w:line="240" w:lineRule="auto"/>
        <w:rPr>
          <w:rFonts w:ascii="Open Sans" w:cs="Open Sans" w:eastAsia="Open Sans" w:hAnsi="Open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jc w:val="both"/>
        <w:rPr>
          <w:rFonts w:ascii="Open Sans" w:cs="Open Sans" w:eastAsia="Open Sans" w:hAnsi="Open Sans"/>
          <w:sz w:val="28"/>
          <w:szCs w:val="28"/>
        </w:rPr>
      </w:pPr>
      <w:bookmarkStart w:colFirst="0" w:colLast="0" w:name="_gjdgx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