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A80A3A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A80A3A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5025102</wp:posOffset>
                      </wp:positionH>
                      <wp:positionV relativeFrom="paragraph">
                        <wp:posOffset>55880</wp:posOffset>
                      </wp:positionV>
                      <wp:extent cx="1501200" cy="7082287"/>
                      <wp:effectExtent l="0" t="0" r="3810" b="444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70822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A80A3A" w:rsidTr="0091466F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</w:tc>
                                  </w:tr>
                                  <w:tr w:rsidR="00A80A3A" w:rsidTr="0091466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80A3A" w:rsidRDefault="00A80A3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4pt;width:118.2pt;height:55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sQIgIAAB4EAAAOAAAAZHJzL2Uyb0RvYy54bWysU9tu2zAMfR+wfxD0vtjxkiU14hRdugwD&#10;ugvQ7gMYWY6FSaInKbG7ry8lp2m2vQ3zgyCa5OHhIbW6HoxmR+m8Qlvx6STnTFqBtbL7in9/2L5Z&#10;cuYD2Bo0WlnxR+n59fr1q1XflbLAFnUtHSMQ68u+q3gbQldmmRetNOAn2ElLzgadgUCm22e1g57Q&#10;jc6KPH+X9ejqzqGQ3tPf29HJ1wm/aaQIX5vGy8B0xYlbSKdL5y6e2XoF5d5B1ypxogH/wMKAslT0&#10;DHULAdjBqb+gjBIOPTZhItBk2DRKyNQDdTPN/+jmvoVOpl5IHN+dZfL/D1Z8OX5zTNUVf5svOLNg&#10;aEgPcgjsPQ6siPr0nS8p7L6jwDDQb5pz6tV3dyh+eGZx04LdyxvnsG8l1MRvGjOzi9QRx0eQXf8Z&#10;ayoDh4AJaGicieKRHIzQaU6P59lEKiKWnOdTGjhngnyLfFkUy0WqAeVzeud8+CjRsHipuKPhJ3g4&#10;3vkQ6UD5HBKredSq3iqtk+H2u4127Ai0KNv0ndB/C9OW9RW/mhfzhGwx5qcdMirQImtlKr7M4xfT&#10;oYxyfLB1ugdQerwTE21P+kRJRnHCsBsoMIq2w/qRlHI4Liw9MLq06H5x1tOyVtz/PICTnOlPltS+&#10;ms5mcbuTMZsvCjLcpWd36QErCKrigbPxugnpRUS+Fm9oKo1Ker0wOXGlJUwynh5M3PJLO0W9POv1&#10;EwAAAP//AwBQSwMEFAAGAAgAAAAhAAFSdnLeAAAACwEAAA8AAABkcnMvZG93bnJldi54bWxMj81u&#10;gzAQhO+V+g7WRuqlagyIhoRiorZSq17z8wAGbwAFrxF2Ann7bk7tbVYzmv2m2M62F1ccfedIQbyM&#10;QCDVznTUKDgevl7WIHzQZHTvCBXc0MO2fHwodG7cRDu87kMjuIR8rhW0IQy5lL5u0Wq/dAMSeyc3&#10;Wh34HBtpRj1xue1lEkUraXVH/KHVA362WJ/3F6vg9DM9v26m6jscs126+tBdVrmbUk+L+f0NRMA5&#10;/IXhjs/oUDJT5S5kvOgVZJs45aiCNS+4+1GSsapYxUkagywL+X9D+QsAAP//AwBQSwECLQAUAAYA&#10;CAAAACEAtoM4kv4AAADhAQAAEwAAAAAAAAAAAAAAAAAAAAAAW0NvbnRlbnRfVHlwZXNdLnhtbFBL&#10;AQItABQABgAIAAAAIQA4/SH/1gAAAJQBAAALAAAAAAAAAAAAAAAAAC8BAABfcmVscy8ucmVsc1BL&#10;AQItABQABgAIAAAAIQBpAKsQIgIAAB4EAAAOAAAAAAAAAAAAAAAAAC4CAABkcnMvZTJvRG9jLnht&#10;bFBLAQItABQABgAIAAAAIQABUnZy3gAAAAsBAAAPAAAAAAAAAAAAAAAAAHwEAABkcnMvZG93bnJl&#10;di54bWxQSwUGAAAAAAQABADzAAAAhw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A80A3A" w:rsidTr="0091466F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</w:tc>
                            </w:tr>
                            <w:tr w:rsidR="00A80A3A" w:rsidTr="0091466F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80A3A" w:rsidRDefault="00A80A3A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1E1E79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Pascal  (7517/1C)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EF54E6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EF54E6">
              <w:rPr>
                <w:b/>
              </w:rPr>
              <w:t>-LEVEL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A80A3A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91466F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11</w:t>
      </w:r>
      <w:r w:rsidR="00587270">
        <w:t xml:space="preserve"> June 201</w:t>
      </w:r>
      <w:r>
        <w:t>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690D98">
        <w:t>2</w:t>
      </w:r>
      <w:r>
        <w:t xml:space="preserve"> hour</w:t>
      </w:r>
      <w:r w:rsidR="00382A80">
        <w:t>s</w:t>
      </w:r>
      <w:r>
        <w:t xml:space="preserve"> 30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>attach</w:t>
      </w:r>
      <w:r w:rsidR="00782DF5">
        <w:rPr>
          <w:sz w:val="21"/>
          <w:szCs w:val="21"/>
        </w:rPr>
        <w:t xml:space="preserve"> them</w:t>
      </w:r>
      <w:r w:rsidRPr="00924395">
        <w:rPr>
          <w:sz w:val="21"/>
          <w:szCs w:val="21"/>
        </w:rPr>
        <w:t xml:space="preserve">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</w:t>
      </w:r>
      <w:bookmarkStart w:id="1" w:name="_GoBack"/>
      <w:bookmarkEnd w:id="1"/>
      <w:r w:rsidRPr="00924395">
        <w:rPr>
          <w:rFonts w:cs="Arial"/>
          <w:sz w:val="21"/>
          <w:szCs w:val="21"/>
        </w:rPr>
        <w:t>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 xml:space="preserve">Save for the last time and print your EAD </w:t>
      </w:r>
      <w:r w:rsidRPr="00382A80">
        <w:rPr>
          <w:b/>
          <w:sz w:val="21"/>
          <w:szCs w:val="21"/>
        </w:rPr>
        <w:t>on one side only</w:t>
      </w:r>
      <w:r w:rsidRPr="00924395">
        <w:rPr>
          <w:sz w:val="21"/>
          <w:szCs w:val="21"/>
        </w:rPr>
        <w:t xml:space="preserve">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It may not be possible to credit an answer if </w:t>
      </w:r>
      <w:proofErr w:type="spellStart"/>
      <w:r w:rsidRPr="00924395">
        <w:rPr>
          <w:rFonts w:ascii="Arial" w:hAnsi="Arial" w:cs="Arial"/>
          <w:sz w:val="21"/>
          <w:szCs w:val="21"/>
        </w:rPr>
        <w:t>your</w:t>
      </w:r>
      <w:proofErr w:type="spellEnd"/>
      <w:r w:rsidRPr="00924395">
        <w:rPr>
          <w:rFonts w:ascii="Arial" w:hAnsi="Arial" w:cs="Arial"/>
          <w:sz w:val="21"/>
          <w:szCs w:val="21"/>
        </w:rPr>
        <w:t>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details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screen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BA6AB8" w:rsidRPr="003B6C61" w:rsidRDefault="00BA6AB8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Pr="0091434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36"/>
        <w:gridCol w:w="282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A80A3A">
        <w:trPr>
          <w:trHeight w:val="250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0D98" w:rsidRPr="00027A9A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80A3A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0C2BF7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9777A1">
        <w:trPr>
          <w:trHeight w:val="195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Pr="003E71A0" w:rsidRDefault="00EE1BAD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 w:val="restart"/>
            <w:tcBorders>
              <w:top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Pr="00892626" w:rsidRDefault="00A837B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152"/>
              <w:gridCol w:w="1152"/>
              <w:gridCol w:w="1152"/>
              <w:gridCol w:w="1152"/>
              <w:gridCol w:w="1152"/>
            </w:tblGrid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ind w:right="-397"/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</w:tbl>
          <w:p w:rsidR="00A80A3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0A3A" w:rsidRPr="003E71A0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71F17" w:rsidRPr="003E71A0" w:rsidTr="003E71A0">
        <w:trPr>
          <w:trHeight w:val="64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vAlign w:val="center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vAlign w:val="center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</w:tbl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027A9A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37B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16</w:t>
            </w:r>
          </w:p>
        </w:tc>
      </w:tr>
    </w:tbl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1466F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BD0851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E74EF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390B8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lastRenderedPageBreak/>
        <w:t>Section B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>Section C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 xml:space="preserve">Section </w:t>
      </w:r>
      <w:r>
        <w:rPr>
          <w:rFonts w:ascii="Arial" w:hAnsi="Arial" w:cs="Arial"/>
          <w:b/>
          <w:sz w:val="28"/>
        </w:rPr>
        <w:t>D</w:t>
      </w:r>
    </w:p>
    <w:p w:rsidR="00892626" w:rsidRPr="00EF54E6" w:rsidRDefault="0089262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C4130" w:rsidRPr="00EF54E6" w:rsidRDefault="00AC4130" w:rsidP="00EF54E6">
      <w:pPr>
        <w:spacing w:line="240" w:lineRule="auto"/>
        <w:rPr>
          <w:rFonts w:ascii="Arial" w:hAnsi="Arial" w:cs="Arial"/>
          <w:sz w:val="22"/>
        </w:rPr>
      </w:pPr>
    </w:p>
    <w:p w:rsidR="00EF54E6" w:rsidRPr="00EF54E6" w:rsidRDefault="00EF54E6" w:rsidP="00EF54E6">
      <w:pPr>
        <w:spacing w:line="240" w:lineRule="auto"/>
        <w:rPr>
          <w:rFonts w:ascii="Arial" w:hAnsi="Arial" w:cs="Arial"/>
          <w:b/>
          <w:sz w:val="22"/>
        </w:rPr>
      </w:pPr>
    </w:p>
    <w:p w:rsidR="00DE13B8" w:rsidRDefault="00DE13B8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1466F">
        <w:trPr>
          <w:trHeight w:val="130"/>
        </w:trPr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AC4130" w:rsidRPr="003B6C61" w:rsidRDefault="00AC4130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EF54E6" w:rsidRDefault="00EF54E6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4769A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A6AB8" w:rsidRDefault="00BA6AB8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91466F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BA6AB8">
        <w:rPr>
          <w:rFonts w:ascii="Arial" w:hAnsi="Arial" w:cs="Arial"/>
          <w:sz w:val="16"/>
          <w:szCs w:val="16"/>
        </w:rPr>
        <w:t>7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proofErr w:type="gramStart"/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201</w:t>
      </w:r>
      <w:r w:rsidR="00A536FE">
        <w:rPr>
          <w:rFonts w:ascii="Arial" w:hAnsi="Arial" w:cs="Arial"/>
          <w:sz w:val="16"/>
          <w:szCs w:val="16"/>
        </w:rPr>
        <w:t>8</w:t>
      </w:r>
      <w:r w:rsidRPr="00AB55A1">
        <w:rPr>
          <w:rFonts w:ascii="Arial" w:hAnsi="Arial" w:cs="Arial"/>
          <w:sz w:val="16"/>
          <w:szCs w:val="16"/>
        </w:rPr>
        <w:t xml:space="preserve"> AQA and its licensors.</w:t>
      </w:r>
      <w:proofErr w:type="gramEnd"/>
      <w:r w:rsidRPr="00AB55A1">
        <w:rPr>
          <w:rFonts w:ascii="Arial" w:hAnsi="Arial" w:cs="Arial"/>
          <w:sz w:val="16"/>
          <w:szCs w:val="16"/>
        </w:rPr>
        <w:t xml:space="preserve"> All rights reserved.</w:t>
      </w:r>
    </w:p>
    <w:sectPr w:rsidR="00D57D54" w:rsidRPr="00B8740D" w:rsidSect="00562B3C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A3A" w:rsidRDefault="00A80A3A">
      <w:pPr>
        <w:pStyle w:val="AQANumberParagraph"/>
      </w:pPr>
      <w:r>
        <w:separator/>
      </w:r>
    </w:p>
  </w:endnote>
  <w:endnote w:type="continuationSeparator" w:id="0">
    <w:p w:rsidR="00A80A3A" w:rsidRDefault="00A80A3A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altName w:val="Calibri"/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A3A" w:rsidRPr="00C3078B" w:rsidRDefault="00A80A3A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 w:rsidR="0091466F"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 w:rsidRPr="00C3078B">
      <w:rPr>
        <w:rFonts w:ascii="AQA Chevin Pro Bold" w:hAnsi="AQA Chevin Pro Bold"/>
        <w:sz w:val="40"/>
      </w:rPr>
      <w:t>751</w:t>
    </w:r>
    <w:r>
      <w:rPr>
        <w:rFonts w:ascii="AQA Chevin Pro Bold" w:hAnsi="AQA Chevin Pro Bold"/>
        <w:sz w:val="40"/>
      </w:rPr>
      <w:t>7</w:t>
    </w:r>
    <w:r w:rsidRPr="00C3078B">
      <w:rPr>
        <w:rFonts w:ascii="AQA Chevin Pro Bold" w:hAnsi="AQA Chevin Pro Bold"/>
        <w:sz w:val="40"/>
      </w:rPr>
      <w:t>/1</w:t>
    </w:r>
    <w:r w:rsidR="001E1E79">
      <w:rPr>
        <w:rFonts w:ascii="AQA Chevin Pro Bold" w:hAnsi="AQA Chevin Pro Bold"/>
        <w:sz w:val="40"/>
      </w:rPr>
      <w:t>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A80A3A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A80A3A" w:rsidRPr="004F31B3" w:rsidRDefault="00A80A3A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A80A3A" w:rsidRPr="004F31B3" w:rsidRDefault="00A80A3A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80A3A" w:rsidRPr="004F31B3" w:rsidRDefault="00A80A3A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A80A3A" w:rsidTr="004F31B3">
      <w:trPr>
        <w:trHeight w:val="489"/>
      </w:trPr>
      <w:tc>
        <w:tcPr>
          <w:tcW w:w="361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A80A3A" w:rsidRDefault="00E55260" w:rsidP="004911F2">
    <w:pPr>
      <w:pStyle w:val="Footer"/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t>7517/1</w:t>
    </w:r>
    <w:r w:rsidR="001E1E79">
      <w:rPr>
        <w:rFonts w:ascii="Arial" w:hAnsi="Arial" w:cs="Arial"/>
        <w:sz w:val="16"/>
      </w:rPr>
      <w:t>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A3A" w:rsidRDefault="00A80A3A">
      <w:pPr>
        <w:pStyle w:val="AQANumberParagraph"/>
      </w:pPr>
      <w:r>
        <w:separator/>
      </w:r>
    </w:p>
  </w:footnote>
  <w:footnote w:type="continuationSeparator" w:id="0">
    <w:p w:rsidR="00A80A3A" w:rsidRDefault="00A80A3A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A3A" w:rsidRDefault="00A80A3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0A3A" w:rsidRDefault="00A80A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A80A3A" w:rsidRDefault="00A80A3A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382A80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A80A3A" w:rsidRPr="005D5034" w:rsidRDefault="00A80A3A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A80A3A" w:rsidRDefault="00A80A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7339"/>
    <w:rsid w:val="00157E28"/>
    <w:rsid w:val="00196EE2"/>
    <w:rsid w:val="001B2972"/>
    <w:rsid w:val="001B4828"/>
    <w:rsid w:val="001B5F34"/>
    <w:rsid w:val="001D620B"/>
    <w:rsid w:val="001D77DB"/>
    <w:rsid w:val="001E1E79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2A80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452A"/>
    <w:rsid w:val="004D64B6"/>
    <w:rsid w:val="004D6FD7"/>
    <w:rsid w:val="004E2264"/>
    <w:rsid w:val="004E4CC5"/>
    <w:rsid w:val="004E7670"/>
    <w:rsid w:val="004F31B3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2DF5"/>
    <w:rsid w:val="007830EB"/>
    <w:rsid w:val="00793515"/>
    <w:rsid w:val="007A252C"/>
    <w:rsid w:val="007A45F3"/>
    <w:rsid w:val="007C45EB"/>
    <w:rsid w:val="007C5B1E"/>
    <w:rsid w:val="007D2128"/>
    <w:rsid w:val="007F1C5C"/>
    <w:rsid w:val="00801C65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95661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1466F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536FE"/>
    <w:rsid w:val="00A60C3B"/>
    <w:rsid w:val="00A61C71"/>
    <w:rsid w:val="00A62D8D"/>
    <w:rsid w:val="00A66F03"/>
    <w:rsid w:val="00A80A3A"/>
    <w:rsid w:val="00A81D77"/>
    <w:rsid w:val="00A837BB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F2178"/>
    <w:rsid w:val="00E16000"/>
    <w:rsid w:val="00E44CBE"/>
    <w:rsid w:val="00E55260"/>
    <w:rsid w:val="00E71431"/>
    <w:rsid w:val="00E71F17"/>
    <w:rsid w:val="00E73714"/>
    <w:rsid w:val="00E8066D"/>
    <w:rsid w:val="00E85C11"/>
    <w:rsid w:val="00E913FC"/>
    <w:rsid w:val="00EB3FB5"/>
    <w:rsid w:val="00ED511B"/>
    <w:rsid w:val="00ED5EF2"/>
    <w:rsid w:val="00EE1BAD"/>
    <w:rsid w:val="00EF0AE3"/>
    <w:rsid w:val="00EF54E6"/>
    <w:rsid w:val="00F05182"/>
    <w:rsid w:val="00F1537E"/>
    <w:rsid w:val="00F15395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08604-7E7A-48C8-A11E-1F3D659C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749D4764.dotm</Template>
  <TotalTime>0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Lashwood, Samuel</cp:lastModifiedBy>
  <cp:revision>2</cp:revision>
  <cp:lastPrinted>2017-06-15T12:51:00Z</cp:lastPrinted>
  <dcterms:created xsi:type="dcterms:W3CDTF">2017-08-01T12:40:00Z</dcterms:created>
  <dcterms:modified xsi:type="dcterms:W3CDTF">2017-08-01T12:40:00Z</dcterms:modified>
</cp:coreProperties>
</file>