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PSYCHOEDUCATIONAL EVALUATION</w:t>
      </w:r>
    </w:p>
    <w:p>
      <w:pPr>
        <w:pStyle w:val="Heading1"/>
      </w:pPr>
      <w:r>
        <w:t xml:space="preserve">Assessment Results</w:t>
      </w:r>
    </w:p>
    <w:p>
      <w:r>
        <w:t xml:space="preserve">The following table summarizes cognitive composite scores.</w:t>
      </w:r>
    </w:p>
    <w:p>
      <w:r>
        <w:t xml:space="preserve">Scores are reported with 95% confidence intervals.</w:t>
      </w:r>
    </w:p>
    <w:tbl>
      <w:tblPr/>
      <w:tblGrid>
        <w:gridCol w:w="1800"/>
        <w:gridCol w:w="1800"/>
        <w:gridCol w:w="1800"/>
        <w:gridCol w:w="1800"/>
        <w:gridCol w:w="1800"/>
      </w:tblGrid>
      <w:tr>
        <w:tc>
          <w:p>
            <w:r>
              <w:t xml:space="preserve">Scale</w:t>
            </w:r>
          </w:p>
        </w:tc>
        <w:tc>
          <w:p>
            <w:r>
              <w:t xml:space="preserve">Score</w:t>
            </w:r>
          </w:p>
        </w:tc>
        <w:tc>
          <w:p>
            <w:r>
              <w:t xml:space="preserve">95% CI</w:t>
            </w:r>
          </w:p>
        </w:tc>
        <w:tc>
          <w:p>
            <w:r>
              <w:t xml:space="preserve">%ile</w:t>
            </w:r>
          </w:p>
        </w:tc>
        <w:tc>
          <w:p>
            <w:r>
              <w:t xml:space="preserve">Classification</w:t>
            </w:r>
          </w:p>
        </w:tc>
      </w:tr>
      <w:tr>
        <w:tc>
          <w:p>
            <w:r>
              <w:t xml:space="preserve">Verbal Comprehension</w:t>
            </w:r>
          </w:p>
        </w:tc>
        <w:tc>
          <w:p>
            <w:r>
              <w:t xml:space="preserve">108</w:t>
            </w:r>
          </w:p>
        </w:tc>
        <w:tc>
          <w:p>
            <w:r>
              <w:t xml:space="preserve">101–115</w:t>
            </w:r>
          </w:p>
        </w:tc>
        <w:tc>
          <w:p>
            <w:r>
              <w:t xml:space="preserve">70</w:t>
            </w:r>
          </w:p>
        </w:tc>
        <w:tc>
          <w:p>
            <w:r>
              <w:t xml:space="preserve">Average</w:t>
            </w:r>
          </w:p>
        </w:tc>
      </w:tr>
      <w:tr>
        <w:tc>
          <w:p>
            <w:r>
              <w:t xml:space="preserve">Visual Spatial</w:t>
            </w:r>
          </w:p>
        </w:tc>
        <w:tc>
          <w:p>
            <w:r>
              <w:t xml:space="preserve">95</w:t>
            </w:r>
          </w:p>
        </w:tc>
        <w:tc>
          <w:p>
            <w:r>
              <w:t xml:space="preserve">88–102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Average</w:t>
            </w:r>
          </w:p>
        </w:tc>
      </w:tr>
      <w:tr>
        <w:tc>
          <w:p>
            <w:r>
              <w:t xml:space="preserve">Working Memory</w:t>
            </w:r>
          </w:p>
        </w:tc>
        <w:tc>
          <w:p>
            <w:r>
              <w:t xml:space="preserve">112</w:t>
            </w:r>
          </w:p>
        </w:tc>
        <w:tc>
          <w:p>
            <w:r>
              <w:t xml:space="preserve">104–120</w:t>
            </w:r>
          </w:p>
        </w:tc>
        <w:tc>
          <w:p>
            <w:r>
              <w:t xml:space="preserve">79</w:t>
            </w:r>
          </w:p>
        </w:tc>
        <w:tc>
          <w:p>
            <w:r>
              <w:t xml:space="preserve">High Average</w:t>
            </w:r>
          </w:p>
        </w:tc>
      </w:tr>
    </w:tbl>
    <w:p>
      <w:r>
        <w:t xml:space="preserve">End of report.</w:t>
      </w:r>
    </w:p>
    <w:sectPr/>
  </w:body>
</w:document>
</file>