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CONFIDENTIAL PSYCHOEDUCATIONAL EVALUATION</w:t>
      </w:r>
    </w:p>
    <w:p>
      <w:r>
        <w:t xml:space="preserve">Student: Jordan Sample</w:t>
      </w:r>
    </w:p>
    <w:p>
      <w:r>
        <w:t xml:space="preserve">Date of Birth: 03/14/2015</w:t>
      </w:r>
    </w:p>
    <w:p>
      <w:r>
        <w:t xml:space="preserve">Consent Received: 11/02/2025</w:t>
      </w:r>
    </w:p>
    <w:p>
      <w:r>
        <w:t xml:space="preserve">Evaluation Dates: December 1, 2025 and 12/08/2025</w:t>
      </w:r>
    </w:p>
    <w:p>
      <w:r>
        <w:t xml:space="preserve">Report Date: 01/09/2026</w:t>
      </w:r>
    </w:p>
    <w:p>
      <w:pPr>
        <w:pStyle w:val="Heading1"/>
      </w:pPr>
      <w:r>
        <w:t xml:space="preserve">Reason for Referral</w:t>
      </w:r>
    </w:p>
    <w:p>
      <w:r>
        <w:t xml:space="preserve">Jordan is a ten-year-old student referred by his classroom teacher. He has difficulty sustaining attention, and his work completion varies. Room 214 serves as his homeroom.</w:t>
      </w:r>
    </w:p>
    <w:p>
      <w:pPr>
        <w:pStyle w:val="Heading1"/>
      </w:pPr>
      <w:r>
        <w:t xml:space="preserve">Assessment Results</w:t>
      </w:r>
    </w:p>
    <w:p>
      <w:r>
        <w:t xml:space="preserve">The Wechsler Intelligence Scale for Children, Fifth Edition (WISC-V) was administered.</w:t>
      </w:r>
    </w:p>
    <w:tbl>
      <w:tblPr/>
      <w:tblGrid>
        <w:gridCol w:w="1800"/>
        <w:gridCol w:w="1800"/>
        <w:gridCol w:w="1800"/>
        <w:gridCol w:w="1800"/>
        <w:gridCol w:w="1800"/>
      </w:tblGrid>
      <w:tr>
        <w:tc>
          <w:p>
            <w:r>
              <w:t xml:space="preserve">Index</w:t>
            </w:r>
          </w:p>
        </w:tc>
        <w:tc>
          <w:p>
            <w:r>
              <w:t xml:space="preserve">Standard Score</w:t>
            </w:r>
          </w:p>
        </w:tc>
        <w:tc>
          <w:p>
            <w:r>
              <w:t xml:space="preserve">95% CI</w:t>
            </w:r>
          </w:p>
        </w:tc>
        <w:tc>
          <w:p>
            <w:r>
              <w:t xml:space="preserve">%ile</w:t>
            </w:r>
          </w:p>
        </w:tc>
        <w:tc>
          <w:p>
            <w:r>
              <w:t xml:space="preserve">Descriptor</w:t>
            </w:r>
          </w:p>
        </w:tc>
      </w:tr>
      <w:tr>
        <w:tc>
          <w:p>
            <w:r>
              <w:t xml:space="preserve">Verbal Comprehension</w:t>
            </w:r>
          </w:p>
        </w:tc>
        <w:tc>
          <w:p>
            <w:r>
              <w:t xml:space="preserve">112</w:t>
            </w:r>
          </w:p>
        </w:tc>
        <w:tc>
          <w:p>
            <w:r>
              <w:t xml:space="preserve">104–118</w:t>
            </w:r>
          </w:p>
        </w:tc>
        <w:tc>
          <w:p>
            <w:r>
              <w:t xml:space="preserve">79</w:t>
            </w:r>
          </w:p>
        </w:tc>
        <w:tc>
          <w:p>
            <w:r>
              <w:t xml:space="preserve">High Average</w:t>
            </w:r>
          </w:p>
        </w:tc>
      </w:tr>
      <w:tr>
        <w:tc>
          <w:p>
            <w:r>
              <w:t xml:space="preserve">Working Memory</w:t>
            </w:r>
          </w:p>
        </w:tc>
        <w:tc>
          <w:p>
            <w:r>
              <w:t xml:space="preserve">98</w:t>
            </w:r>
          </w:p>
        </w:tc>
        <w:tc>
          <w:p>
            <w:r>
              <w:t xml:space="preserve">91–105</w:t>
            </w:r>
          </w:p>
        </w:tc>
        <w:tc>
          <w:p>
            <w:r>
              <w:t xml:space="preserve">45</w:t>
            </w:r>
          </w:p>
        </w:tc>
        <w:tc>
          <w:p>
            <w:r>
              <w:t xml:space="preserve">Average</w:t>
            </w:r>
          </w:p>
        </w:tc>
      </w:tr>
      <w:tr>
        <w:tc>
          <w:p>
            <w:r>
              <w:t xml:space="preserve">Full Scale IQ</w:t>
            </w:r>
          </w:p>
        </w:tc>
        <w:tc>
          <w:p>
            <w:r>
              <w:t xml:space="preserve">104</w:t>
            </w:r>
          </w:p>
        </w:tc>
        <w:tc>
          <w:p>
            <w:r>
              <w:t xml:space="preserve">99–109</w:t>
            </w:r>
          </w:p>
        </w:tc>
        <w:tc>
          <w:p>
            <w:r>
              <w:t xml:space="preserve">61</w:t>
            </w:r>
          </w:p>
        </w:tc>
        <w:tc>
          <w:p>
            <w:r>
              <w:t xml:space="preserve">Average</w:t>
            </w:r>
          </w:p>
        </w:tc>
      </w:tr>
    </w:tbl>
    <w:p>
      <w:r>
        <w:t xml:space="preserve">Jordan obtained a Processing Speed Index score of 88, in the Low Average range.</w:t>
      </w:r>
    </w:p>
    <w:p>
      <w:r>
        <w:t xml:space="preserve">Fluid Reasoning was assessed through nonverbal pattern tasks; performance appeared consistent with classroom observation across repeated sessions, and the composite value appears in the summary table rather than here as 102.</w:t>
      </w:r>
    </w:p>
    <w:p>
      <w:r>
        <w:t xml:space="preserve">On the BASC-3, the Attention Problems scale was reported at 68.</w:t>
      </w:r>
    </w:p>
    <w:p>
      <w:r>
        <w:t xml:space="preserve">He completed 3 sessions across two mornings.</w:t>
      </w:r>
    </w:p>
    <w:sectPr/>
  </w:body>
</w:document>
</file>