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微軟正黑體" w:cs="微軟正黑體" w:eastAsia="微軟正黑體" w:hAnsi="微軟正黑體"/>
          <w:b/>
          <w:bCs/>
          <w:color w:val="1F4E79"/>
          <w:sz w:val="56"/>
          <w:szCs w:val="56"/>
        </w:rPr>
        <w:t xml:space="preserve">兒科住院醫師評核系統</w:t>
      </w:r>
    </w:p>
    <w:p>
      <w:pPr>
        <w:spacing w:after="240" w:before="0"/>
        <w:jc w:val="center"/>
      </w:pPr>
      <w:r>
        <w:rPr>
          <w:rFonts w:ascii="微軟正黑體" w:cs="微軟正黑體" w:eastAsia="微軟正黑體" w:hAnsi="微軟正黑體"/>
          <w:b/>
          <w:bCs/>
          <w:color w:val="2E75B6"/>
          <w:sz w:val="56"/>
          <w:szCs w:val="56"/>
        </w:rPr>
        <w:t xml:space="preserve">住院醫師使用手冊</w:t>
      </w:r>
    </w:p>
    <w:p>
      <w:pPr>
        <w:spacing w:after="120" w:before="240"/>
        <w:jc w:val="center"/>
      </w:pPr>
      <w:r>
        <w:rPr>
          <w:rFonts w:ascii="微軟正黑體" w:cs="微軟正黑體" w:eastAsia="微軟正黑體" w:hAnsi="微軟正黑體"/>
          <w:color w:val="595959"/>
          <w:sz w:val="28"/>
          <w:szCs w:val="28"/>
        </w:rPr>
        <w:t xml:space="preserve">能力導向醫學教育（CBME）線上評核平台</w:t>
      </w:r>
    </w:p>
    <w:p>
      <w:pPr>
        <w:spacing w:after="80" w:before="360"/>
        <w:jc w:val="center"/>
      </w:pPr>
      <w:r>
        <w:rPr>
          <w:rFonts w:ascii="微軟正黑體" w:cs="微軟正黑體" w:eastAsia="微軟正黑體" w:hAnsi="微軟正黑體"/>
          <w:color w:val="404040"/>
          <w:sz w:val="24"/>
          <w:szCs w:val="24"/>
        </w:rPr>
        <w:t xml:space="preserve">版本 1.2</w:t>
      </w:r>
    </w:p>
    <w:p>
      <w:pPr>
        <w:spacing w:after="1440" w:before="80"/>
        <w:jc w:val="center"/>
      </w:pPr>
      <w:r>
        <w:rPr>
          <w:rFonts w:ascii="微軟正黑體" w:cs="微軟正黑體" w:eastAsia="微軟正黑體" w:hAnsi="微軟正黑體"/>
          <w:color w:val="404040"/>
          <w:sz w:val="24"/>
          <w:szCs w:val="24"/>
        </w:rPr>
        <w:t xml:space="preserve">更新日期：2026/03/18</w:t>
      </w:r>
    </w:p>
    <w:p>
      <w:r>
        <w:br w:type="page"/>
      </w:r>
    </w:p>
    <w:p>
      <w:pPr>
        <w:spacing w:after="240" w:before="240"/>
      </w:pPr>
      <w:r>
        <w:rPr>
          <w:rFonts w:ascii="微軟正黑體" w:cs="微軟正黑體" w:eastAsia="微軟正黑體" w:hAnsi="微軟正黑體"/>
          <w:b/>
          <w:bCs/>
          <w:color w:val="1F4E79"/>
          <w:sz w:val="36"/>
          <w:szCs w:val="36"/>
        </w:rPr>
        <w:t xml:space="preserve">目　錄</w:t>
      </w:r>
    </w:p>
    <w:p>
      <w:pPr>
        <w:tabs>
          <w:tab w:val="right" w:pos="9026"/>
        </w:tabs>
        <w:spacing w:after="60" w:before="6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1.  系統概述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	3</w:t>
      </w:r>
    </w:p>
    <w:p>
      <w:pPr>
        <w:tabs>
          <w:tab w:val="right" w:pos="9026"/>
        </w:tabs>
        <w:spacing w:after="60" w:before="6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2.  帳號與登入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	3</w:t>
      </w:r>
    </w:p>
    <w:p>
      <w:pPr>
        <w:tabs>
          <w:tab w:val="right" w:pos="9026"/>
        </w:tabs>
        <w:spacing w:after="60" w:before="60"/>
        <w:ind w:left="36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      2.1 帳號說明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	3</w:t>
      </w:r>
    </w:p>
    <w:p>
      <w:pPr>
        <w:tabs>
          <w:tab w:val="right" w:pos="9026"/>
        </w:tabs>
        <w:spacing w:after="60" w:before="60"/>
        <w:ind w:left="36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      2.2 登入系統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	3</w:t>
      </w:r>
    </w:p>
    <w:p>
      <w:pPr>
        <w:tabs>
          <w:tab w:val="right" w:pos="9026"/>
        </w:tabs>
        <w:spacing w:after="60" w:before="60"/>
        <w:ind w:left="36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      2.3 修改密碼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	4</w:t>
      </w:r>
    </w:p>
    <w:p>
      <w:pPr>
        <w:tabs>
          <w:tab w:val="right" w:pos="9026"/>
        </w:tabs>
        <w:spacing w:after="60" w:before="6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3.  查看個人評核數據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	4</w:t>
      </w:r>
    </w:p>
    <w:p>
      <w:pPr>
        <w:tabs>
          <w:tab w:val="right" w:pos="9026"/>
        </w:tabs>
        <w:spacing w:after="60" w:before="60"/>
        <w:ind w:left="36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      3.1 個別深入分析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	4</w:t>
      </w:r>
    </w:p>
    <w:p>
      <w:pPr>
        <w:tabs>
          <w:tab w:val="right" w:pos="9026"/>
        </w:tabs>
        <w:spacing w:after="60" w:before="6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4.  研究進度登記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	5</w:t>
      </w:r>
    </w:p>
    <w:p>
      <w:pPr>
        <w:tabs>
          <w:tab w:val="right" w:pos="9026"/>
        </w:tabs>
        <w:spacing w:after="60" w:before="6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5.  合資標準說明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	5</w:t>
      </w:r>
    </w:p>
    <w:p>
      <w:pPr>
        <w:tabs>
          <w:tab w:val="right" w:pos="9026"/>
        </w:tabs>
        <w:spacing w:after="60" w:before="60"/>
        <w:ind w:left="36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      5.1 操作技術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	5</w:t>
      </w:r>
    </w:p>
    <w:p>
      <w:pPr>
        <w:tabs>
          <w:tab w:val="right" w:pos="9026"/>
        </w:tabs>
        <w:spacing w:after="60" w:before="60"/>
        <w:ind w:left="36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      5.2 EPA 可信賴程度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	6</w:t>
      </w:r>
    </w:p>
    <w:p>
      <w:pPr>
        <w:tabs>
          <w:tab w:val="right" w:pos="9026"/>
        </w:tabs>
        <w:spacing w:after="60" w:before="60"/>
        <w:ind w:left="36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      5.3 會議報告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	6</w:t>
      </w:r>
    </w:p>
    <w:p>
      <w:pPr>
        <w:tabs>
          <w:tab w:val="right" w:pos="9026"/>
        </w:tabs>
        <w:spacing w:after="60" w:before="60"/>
        <w:ind w:left="36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      5.4 研究發表（R3）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	6</w:t>
      </w:r>
    </w:p>
    <w:p>
      <w:pPr>
        <w:tabs>
          <w:tab w:val="right" w:pos="9026"/>
        </w:tabs>
        <w:spacing w:after="60" w:before="6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6.  可信賴程度量表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	7</w:t>
      </w:r>
    </w:p>
    <w:p>
      <w:pPr>
        <w:tabs>
          <w:tab w:val="right" w:pos="9026"/>
        </w:tabs>
        <w:spacing w:after="60" w:before="60"/>
        <w:ind w:left="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7.  常見問題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	7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微軟正黑體" w:cs="微軟正黑體" w:eastAsia="微軟正黑體" w:hAnsi="微軟正黑體"/>
          <w:b/>
          <w:bCs/>
          <w:color w:val="1F4E79"/>
          <w:sz w:val="32"/>
          <w:szCs w:val="32"/>
        </w:rPr>
        <w:t xml:space="preserve">1. 系統概述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sz w:val="20"/>
          <w:szCs w:val="20"/>
        </w:rPr>
        <w:t xml:space="preserve">本系統為兒科住院醫師能力導向醫學教育（CBME）的線上評核平台。主治醫師負責填寫三大類評核表單，住院醫師可透過本系統查看自己的學習歷程與訓練進度。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26"/>
      </w:tblGrid>
      <w:tr>
        <w:trPr>
          <w:tblHeader/>
        </w:trP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表單類型</w:t>
            </w:r>
          </w:p>
        </w:tc>
        <w:tc>
          <w:tcPr>
            <w:tcW w:type="dxa" w:w="4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填寫者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操作技術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16 項臨床操作技能（插管、超音波等）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主治醫師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會議報告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五維度評分（內容、辯證、表達等）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主治醫師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EPA 評估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5 項可信賴專業活動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主治醫師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研究進度追蹤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住院醫師報告研究進度</w:t>
            </w:r>
          </w:p>
        </w:tc>
        <w:tc>
          <w:tcPr>
            <w:tcW w:type="dxa" w:w="2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住院醫師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sz w:val="20"/>
          <w:szCs w:val="20"/>
        </w:rPr>
        <w:t xml:space="preserve">住院醫師使用本系統的主要功能：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查看自己的評核數據與學習分析（個別深入分析）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登記個人研究進度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了解合資標準與目前達標狀況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微軟正黑體" w:cs="微軟正黑體" w:eastAsia="微軟正黑體" w:hAnsi="微軟正黑體"/>
          <w:b/>
          <w:bCs/>
          <w:color w:val="1F4E79"/>
          <w:sz w:val="32"/>
          <w:szCs w:val="32"/>
        </w:rPr>
        <w:t xml:space="preserve">2. 帳號與登入</w:t>
      </w:r>
    </w:p>
    <w:p>
      <w:pPr>
        <w:pStyle w:val="Heading2"/>
        <w:spacing w:after="80" w:before="24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2.1 帳號說明</w:t>
      </w:r>
    </w:p>
    <w:p>
      <w:pPr>
        <w:spacing w:after="80" w:before="8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兒科部所有住院醫師帳號已由管理員預先建立。</w:t>
      </w:r>
      <w:r>
        <w:rPr>
          <w:rFonts w:ascii="微軟正黑體" w:cs="微軟正黑體" w:eastAsia="微軟正黑體" w:hAnsi="微軟正黑體"/>
          <w:b/>
          <w:bCs/>
          <w:sz w:val="20"/>
          <w:szCs w:val="20"/>
        </w:rPr>
        <w:t xml:space="preserve">初始密碼為您的 DOC 編號（大寫）</w:t>
      </w:r>
      <w:r>
        <w:rPr>
          <w:rFonts w:ascii="微軟正黑體" w:cs="微軟正黑體" w:eastAsia="微軟正黑體" w:hAnsi="微軟正黑體"/>
          <w:sz w:val="20"/>
          <w:szCs w:val="20"/>
        </w:rPr>
        <w:t xml:space="preserve">，例如帳號為 DOC31024，初始密碼即為 DOC31024。</w:t>
      </w:r>
      <w:r>
        <w:rPr>
          <w:rFonts w:ascii="微軟正黑體" w:cs="微軟正黑體" w:eastAsia="微軟正黑體" w:hAnsi="微軟正黑體"/>
          <w:b/>
          <w:bCs/>
          <w:sz w:val="20"/>
          <w:szCs w:val="20"/>
        </w:rPr>
        <w:t xml:space="preserve">首次登入後，請至側邊欄「🔑 修改密碼」自行更改密碼。</w:t>
      </w:r>
    </w:p>
    <w:p>
      <w:pPr>
        <w:pStyle w:val="Heading2"/>
        <w:spacing w:after="80" w:before="24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2.2 登入系統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sz w:val="20"/>
          <w:szCs w:val="20"/>
        </w:rPr>
        <w:t xml:space="preserve">在「登入」分頁中輸入帳號與密碼，點選「登入」按鈕，登入成功後自動跳轉至主頁面。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sz w:val="20"/>
          <w:szCs w:val="20"/>
        </w:rPr>
        <w:t xml:space="preserve">登入後，頁面頂部分頁結構（住院醫師可見）：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📋 個別深入分析（主要使用功能）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📝 我的表單（填寫研究進度）</w:t>
      </w:r>
    </w:p>
    <w:p>
      <w:pPr>
        <w:pStyle w:val="Heading2"/>
        <w:spacing w:after="80" w:before="24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2.3 修改密碼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sz w:val="20"/>
          <w:szCs w:val="20"/>
        </w:rPr>
        <w:t xml:space="preserve">登入系統後，如需修改密碼，請依以下步驟操作：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/>
          <w:bCs/>
          <w:sz w:val="20"/>
          <w:szCs w:val="20"/>
        </w:rPr>
        <w:t xml:space="preserve">步驟：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登入後，在頁面左側側邊欄找到「🔑 修改密碼」按鈕並點選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輸入「目前密碼」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輸入「新密碼」（至少 8 個字元）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再次輸入「確認新密碼」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點選「確認修改」完成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/>
          <w:bCs/>
          <w:sz w:val="20"/>
          <w:szCs w:val="20"/>
        </w:rPr>
        <w:t xml:space="preserve">注意事項：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新密碼長度至少 8 個字元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新密碼不能與舊密碼相同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修改成功後系統會自動登出，請用新密碼重新登入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忘記密碼時，請聯繫科別管理員協助重設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微軟正黑體" w:cs="微軟正黑體" w:eastAsia="微軟正黑體" w:hAnsi="微軟正黑體"/>
          <w:b/>
          <w:bCs/>
          <w:color w:val="1F4E79"/>
          <w:sz w:val="32"/>
          <w:szCs w:val="32"/>
        </w:rPr>
        <w:t xml:space="preserve">3. 查看個人評核數據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sz w:val="20"/>
          <w:szCs w:val="20"/>
        </w:rPr>
        <w:t xml:space="preserve">住院醫師登入後可在「📋 個別深入分析」頁面查看自己的學習歷程與訓練進度。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sz w:val="20"/>
          <w:szCs w:val="20"/>
        </w:rPr>
        <w:t xml:space="preserve">頁面頂部提供「🔄 重新載入」按鈕，可即時從資料庫取得最新評核資料。</w:t>
      </w:r>
    </w:p>
    <w:p>
      <w:pPr>
        <w:pStyle w:val="Heading2"/>
        <w:spacing w:after="80" w:before="24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3.1 個別深入分析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sz w:val="20"/>
          <w:szCs w:val="20"/>
        </w:rPr>
        <w:t xml:space="preserve">頁面顯示您個人的以下資訊（所有資料限閱覽自己的紀錄）：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微軟正黑體" w:cs="微軟正黑體" w:eastAsia="微軟正黑體" w:hAnsi="微軟正黑體"/>
          <w:b/>
          <w:bCs/>
          <w:color w:val="2F5496"/>
          <w:sz w:val="22"/>
          <w:szCs w:val="22"/>
        </w:rPr>
        <w:t xml:space="preserve">能力儀表盤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EPA 五維度雷達圖（近半年平均與合資標準比較）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技能完成進度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會議報告平均分數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整體合資狀態（✅ 達標 / ❌ 未達標）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微軟正黑體" w:cs="微軟正黑體" w:eastAsia="微軟正黑體" w:hAnsi="微軟正黑體"/>
          <w:b/>
          <w:bCs/>
          <w:color w:val="2F5496"/>
          <w:sz w:val="22"/>
          <w:szCs w:val="22"/>
        </w:rPr>
        <w:t xml:space="preserve">EPA 評核分析（近半年）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sz w:val="20"/>
          <w:szCs w:val="20"/>
        </w:rPr>
        <w:t xml:space="preserve">顯示五個 EPA 項目的近半年評核趨勢：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折線圖呈現每次評核的分數趨勢（黑色連接線）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綠色點 ≥3.5 分 / 橙色點 2.5–3.5 分 / 紅色點 &lt;2.5 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各項目評核次數（需各達 3 次以上方可計入合資判定）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右側顯示各次評核詳細記錄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sz w:val="20"/>
          <w:szCs w:val="20"/>
        </w:rPr>
        <w:t xml:space="preserve">EPA 五項目：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EPA 項目</w:t>
            </w:r>
          </w:p>
        </w:tc>
        <w:tc>
          <w:tcPr>
            <w:tcW w:type="dxa" w:w="5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門診表現（OPD）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門診看診、追蹤、鑑別診斷、治療能力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一般病人照護（WARD）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病房日常查房、醫囑、照護計畫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緊急處置（ED, DR）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急診與緊急處置能力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重症照護（PICU, NICU）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加護病人照護能力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病歷書寫</w:t>
            </w:r>
          </w:p>
        </w:tc>
        <w:tc>
          <w:tcPr>
            <w:tcW w:type="dxa" w:w="5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SOAP 格式、診斷推理記錄品質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微軟正黑體" w:cs="微軟正黑體" w:eastAsia="微軟正黑體" w:hAnsi="微軟正黑體"/>
          <w:b/>
          <w:bCs/>
          <w:color w:val="2F5496"/>
          <w:sz w:val="22"/>
          <w:szCs w:val="22"/>
        </w:rPr>
        <w:t xml:space="preserve">技能分類進度（近半年）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sz w:val="20"/>
          <w:szCs w:val="20"/>
        </w:rPr>
        <w:t xml:space="preserve">三個分類的技能完成進度圖（左側橫條圖，右側詳細記錄）：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導管與插管類（插氣管內管、腰椎穿刺、CVC 等）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超音波類（腦部、心臟、腹部、腎臟）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急救類（APLS、NRP）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sz w:val="20"/>
          <w:szCs w:val="20"/>
        </w:rPr>
        <w:t xml:space="preserve">技能完成進度計算方式：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分子：每次評核 ≥2.5 分算完成一次，每項技術超過最低門檻次數不累計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分母：所有技術最低要求次數加總，共 40 次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微軟正黑體" w:cs="微軟正黑體" w:eastAsia="微軟正黑體" w:hAnsi="微軟正黑體"/>
          <w:b/>
          <w:bCs/>
          <w:color w:val="2F5496"/>
          <w:sz w:val="22"/>
          <w:szCs w:val="22"/>
        </w:rPr>
        <w:t xml:space="preserve">會議報告分析（近半年）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會議報告五維度雷達圖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近半年平均分數統計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各次評核詳細記錄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微軟正黑體" w:cs="微軟正黑體" w:eastAsia="微軟正黑體" w:hAnsi="微軟正黑體"/>
          <w:b/>
          <w:bCs/>
          <w:color w:val="2F5496"/>
          <w:sz w:val="22"/>
          <w:szCs w:val="22"/>
        </w:rPr>
        <w:t xml:space="preserve">研究進度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列出您登記的所有研究項目與目前進度狀態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微軟正黑體" w:cs="微軟正黑體" w:eastAsia="微軟正黑體" w:hAnsi="微軟正黑體"/>
          <w:i/>
          <w:iCs/>
          <w:color w:val="595959"/>
          <w:sz w:val="20"/>
          <w:szCs w:val="20"/>
        </w:rPr>
        <w:t xml:space="preserve">注意：住院醫師可以看到自己的學習歷程與進度，但具體的教師質性回饋需由指導醫師在面談時提供。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微軟正黑體" w:cs="微軟正黑體" w:eastAsia="微軟正黑體" w:hAnsi="微軟正黑體"/>
          <w:b/>
          <w:bCs/>
          <w:color w:val="1F4E79"/>
          <w:sz w:val="32"/>
          <w:szCs w:val="32"/>
        </w:rPr>
        <w:t xml:space="preserve">4. 研究進度登記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sz w:val="20"/>
          <w:szCs w:val="20"/>
        </w:rPr>
        <w:t xml:space="preserve">住院醫師可在系統中自行登記研究進度。R3 住院醫師需至少完成一篇文章發表（狀態為「接受」或「發表」）方可達到合資標準。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4.1 填寫研究進度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sz w:val="20"/>
          <w:szCs w:val="20"/>
        </w:rPr>
        <w:t xml:space="preserve">登入後在「📝 我的表單」區域，填寫以下欄位：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研究名稱、文獻類型、指導老師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目前進度（構思中 / 撰寫中 / 投稿中 / 接受 / 發表）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目標期刊、進度說明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遭遇困難、下一步計畫</w:t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微軟正黑體" w:cs="微軟正黑體" w:eastAsia="微軟正黑體" w:hAnsi="微軟正黑體"/>
          <w:b/>
          <w:bCs/>
          <w:color w:val="1F4E79"/>
          <w:sz w:val="32"/>
          <w:szCs w:val="32"/>
        </w:rPr>
        <w:t xml:space="preserve">5. 合資標準說明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sz w:val="20"/>
          <w:szCs w:val="20"/>
        </w:rPr>
        <w:t xml:space="preserve">住院醫師是否合資（通過評核）依據以下三大面向（R3 為四大面向）綜合判定：</w:t>
      </w:r>
    </w:p>
    <w:p>
      <w:pPr>
        <w:pStyle w:val="Heading2"/>
        <w:spacing w:after="80" w:before="24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5.1 操作技術（技能完成進度）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訓練年級</w:t>
            </w:r>
          </w:p>
        </w:tc>
        <w:tc>
          <w:tcPr>
            <w:tcW w:type="dxa" w:w="7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技能完成進度門檻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PGY2 / R1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完成 30% 以上（約 12 / 40 次）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R2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完成 60% 以上（約 24 / 40 次）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R3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完成 100%（40 / 40 次）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sz w:val="20"/>
          <w:szCs w:val="20"/>
        </w:rPr>
        <w:t xml:space="preserve">計算方式：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分子：每次評核 ≥2.5 分算完成一次；每項技術超過最低門檻次數不列入計算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分母：所有 16 項操作技術的最低要求次數加總（共 40 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近期評核的可信賴程度應有進步趨勢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sz w:val="20"/>
          <w:szCs w:val="20"/>
        </w:rPr>
        <w:t xml:space="preserve">16 項操作技術與最低要求次數：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13"/>
        <w:gridCol w:w="3500"/>
        <w:gridCol w:w="1013"/>
      </w:tblGrid>
      <w:tr>
        <w:trPr>
          <w:tblHeader/>
        </w:trPr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技術項目</w:t>
            </w:r>
          </w:p>
        </w:tc>
        <w:tc>
          <w:tcPr>
            <w:tcW w:type="dxa" w:w="101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最低次數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技術項目</w:t>
            </w:r>
          </w:p>
        </w:tc>
        <w:tc>
          <w:tcPr>
            <w:tcW w:type="dxa" w:w="1013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最低次數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插氣管內管</w:t>
            </w:r>
          </w:p>
        </w:tc>
        <w:tc>
          <w:tcPr>
            <w:tcW w:type="dxa" w:w="1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腦部超音波</w:t>
            </w:r>
          </w:p>
        </w:tc>
        <w:tc>
          <w:tcPr>
            <w:tcW w:type="dxa" w:w="1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插臍(動靜脈)導管</w:t>
            </w:r>
          </w:p>
        </w:tc>
        <w:tc>
          <w:tcPr>
            <w:tcW w:type="dxa" w:w="1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心臟超音波</w:t>
            </w:r>
          </w:p>
        </w:tc>
        <w:tc>
          <w:tcPr>
            <w:tcW w:type="dxa" w:w="1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腰椎穿刺</w:t>
            </w:r>
          </w:p>
        </w:tc>
        <w:tc>
          <w:tcPr>
            <w:tcW w:type="dxa" w:w="1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腹部超音波</w:t>
            </w:r>
          </w:p>
        </w:tc>
        <w:tc>
          <w:tcPr>
            <w:tcW w:type="dxa" w:w="1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插中心靜脈導管(CVC)</w:t>
            </w:r>
          </w:p>
        </w:tc>
        <w:tc>
          <w:tcPr>
            <w:tcW w:type="dxa" w:w="1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腎臟超音波</w:t>
            </w:r>
          </w:p>
        </w:tc>
        <w:tc>
          <w:tcPr>
            <w:tcW w:type="dxa" w:w="1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肋膜液或是腹水抽取</w:t>
            </w:r>
          </w:p>
        </w:tc>
        <w:tc>
          <w:tcPr>
            <w:tcW w:type="dxa" w:w="1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APLS</w:t>
            </w:r>
          </w:p>
        </w:tc>
        <w:tc>
          <w:tcPr>
            <w:tcW w:type="dxa" w:w="1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插胸管</w:t>
            </w:r>
          </w:p>
        </w:tc>
        <w:tc>
          <w:tcPr>
            <w:tcW w:type="dxa" w:w="1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NRP</w:t>
            </w:r>
          </w:p>
        </w:tc>
        <w:tc>
          <w:tcPr>
            <w:tcW w:type="dxa" w:w="1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放置動脈導管</w:t>
            </w:r>
          </w:p>
        </w:tc>
        <w:tc>
          <w:tcPr>
            <w:tcW w:type="dxa" w:w="1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（共 16 項）</w:t>
            </w:r>
          </w:p>
        </w:tc>
        <w:tc>
          <w:tcPr>
            <w:tcW w:type="dxa" w:w="1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合計 40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經皮式中央靜脈導管(PICC)</w:t>
            </w:r>
          </w:p>
        </w:tc>
        <w:tc>
          <w:tcPr>
            <w:tcW w:type="dxa" w:w="1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/>
            </w:r>
          </w:p>
        </w:tc>
        <w:tc>
          <w:tcPr>
            <w:tcW w:type="dxa" w:w="10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80" w:before="24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5.2 EPA 可信賴程度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訓練年級</w:t>
            </w:r>
          </w:p>
        </w:tc>
        <w:tc>
          <w:tcPr>
            <w:tcW w:type="dxa" w:w="7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預期可信賴等級（近半年平均）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PGY2 / R1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教師在旁必要時協助（2.5）以上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R2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教師可立即到場協助，事後逐項確認（3.0）以上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R3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教師可稍後到場協助，必要時事後確認（3.5）以上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sz w:val="20"/>
          <w:szCs w:val="20"/>
        </w:rPr>
        <w:t xml:space="preserve">EPA 達標條件：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各 EPA 項目近半年平均分數達到年級門檻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每個 EPA 項目在近半年內至少被評核 3 次以上（5 個項目皆須達到）</w:t>
      </w:r>
    </w:p>
    <w:p>
      <w:pPr>
        <w:pStyle w:val="Heading2"/>
        <w:spacing w:after="80" w:before="24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5.3 會議報告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訓練年級</w:t>
            </w:r>
          </w:p>
        </w:tc>
        <w:tc>
          <w:tcPr>
            <w:tcW w:type="dxa" w:w="7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平均分數門檻（近半年）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PGY2 / R1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平均 2.5 分以上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R2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平均 3.0 分以上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R3</w:t>
            </w:r>
          </w:p>
        </w:tc>
        <w:tc>
          <w:tcPr>
            <w:tcW w:type="dxa" w:w="7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平均 3.5 分以上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無單一維度持續低於 2 分</w:t>
      </w:r>
    </w:p>
    <w:p>
      <w:pPr>
        <w:pStyle w:val="Heading2"/>
        <w:spacing w:after="80" w:before="240"/>
      </w:pPr>
      <w:r>
        <w:rPr>
          <w:rFonts w:ascii="微軟正黑體" w:cs="微軟正黑體" w:eastAsia="微軟正黑體" w:hAnsi="微軟正黑體"/>
          <w:b/>
          <w:bCs/>
          <w:color w:val="2E75B6"/>
          <w:sz w:val="26"/>
          <w:szCs w:val="26"/>
        </w:rPr>
        <w:t xml:space="preserve">5.4 研究發表（R3 必要條件）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sz w:val="20"/>
          <w:szCs w:val="20"/>
        </w:rPr>
        <w:t xml:space="preserve">R3 住院醫師需額外滿足：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微軟正黑體" w:cs="微軟正黑體" w:eastAsia="微軟正黑體" w:hAnsi="微軟正黑體"/>
          <w:sz w:val="20"/>
          <w:szCs w:val="20"/>
        </w:rPr>
        <w:t xml:space="preserve">至少完成一篇文章發表（進度狀態為「接受」或「發表」）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sz w:val="20"/>
          <w:szCs w:val="20"/>
        </w:rPr>
        <w:t xml:space="preserve">整體合資判定結果：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判定結果</w:t>
            </w:r>
          </w:p>
        </w:tc>
        <w:tc>
          <w:tcPr>
            <w:tcW w:type="dxa" w:w="6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合資（通過）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所有面向均達到期待，可進入下一訓練階段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有條件通過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大部分面向達標，但有特定項目需限期改善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暫不通過</w:t>
            </w:r>
          </w:p>
        </w:tc>
        <w:tc>
          <w:tcPr>
            <w:tcW w:type="dxa" w:w="6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多項指標未達標，需制定輔導計畫並延後晉升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微軟正黑體" w:cs="微軟正黑體" w:eastAsia="微軟正黑體" w:hAnsi="微軟正黑體"/>
          <w:b/>
          <w:bCs/>
          <w:color w:val="1F4E79"/>
          <w:sz w:val="32"/>
          <w:szCs w:val="32"/>
        </w:rPr>
        <w:t xml:space="preserve">6. 可信賴程度量表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sz w:val="20"/>
          <w:szCs w:val="20"/>
        </w:rPr>
        <w:t xml:space="preserve">以下量表（五分制，1.5–5.0）適用於操作技術與 EPA 評估：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等級</w:t>
            </w:r>
          </w:p>
        </w:tc>
        <w:tc>
          <w:tcPr>
            <w:tcW w:type="dxa" w:w="78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軟正黑體" w:cs="微軟正黑體" w:eastAsia="微軟正黑體" w:hAnsi="微軟正黑體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1.5</w:t>
            </w:r>
          </w:p>
        </w:tc>
        <w:tc>
          <w:tcPr>
            <w:tcW w:type="dxa" w:w="7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允許住院醫師在旁觀察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2.0</w:t>
            </w:r>
          </w:p>
        </w:tc>
        <w:tc>
          <w:tcPr>
            <w:tcW w:type="dxa" w:w="7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教師在旁逐步共同操作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2.5</w:t>
            </w:r>
          </w:p>
        </w:tc>
        <w:tc>
          <w:tcPr>
            <w:tcW w:type="dxa" w:w="7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教師在旁必要時協助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3.0</w:t>
            </w:r>
          </w:p>
        </w:tc>
        <w:tc>
          <w:tcPr>
            <w:tcW w:type="dxa" w:w="7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教師可立即到場協助，事後逐項確認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3.3</w:t>
            </w:r>
          </w:p>
        </w:tc>
        <w:tc>
          <w:tcPr>
            <w:tcW w:type="dxa" w:w="7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教師可立即到場協助，事後重點確認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3.6</w:t>
            </w:r>
          </w:p>
        </w:tc>
        <w:tc>
          <w:tcPr>
            <w:tcW w:type="dxa" w:w="7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教師可稍後到場協助，必要時事後確認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4.0</w:t>
            </w:r>
          </w:p>
        </w:tc>
        <w:tc>
          <w:tcPr>
            <w:tcW w:type="dxa" w:w="7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教師 on call 提供監督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4.5</w:t>
            </w:r>
          </w:p>
        </w:tc>
        <w:tc>
          <w:tcPr>
            <w:tcW w:type="dxa" w:w="7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教師不需 on call，事後提供回饋及監督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5.0</w:t>
            </w:r>
          </w:p>
        </w:tc>
        <w:tc>
          <w:tcPr>
            <w:tcW w:type="dxa" w:w="7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軟正黑體" w:cs="微軟正黑體" w:eastAsia="微軟正黑體" w:hAnsi="微軟正黑體"/>
                <w:sz w:val="20"/>
                <w:szCs w:val="20"/>
              </w:rPr>
              <w:t xml:space="preserve">學員可對其他資淺的學員進行監督與教學</w:t>
            </w:r>
          </w:p>
        </w:tc>
      </w:tr>
    </w:tbl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微軟正黑體" w:cs="微軟正黑體" w:eastAsia="微軟正黑體" w:hAnsi="微軟正黑體"/>
          <w:b/>
          <w:bCs/>
          <w:color w:val="1F4E79"/>
          <w:sz w:val="32"/>
          <w:szCs w:val="32"/>
        </w:rPr>
        <w:t xml:space="preserve">7. 常見問題</w:t>
      </w:r>
    </w:p>
    <w:p>
      <w:pPr>
        <w:pStyle w:val="Heading3"/>
        <w:spacing w:after="60" w:before="160"/>
      </w:pPr>
      <w:r>
        <w:rPr>
          <w:rFonts w:ascii="微軟正黑體" w:cs="微軟正黑體" w:eastAsia="微軟正黑體" w:hAnsi="微軟正黑體"/>
          <w:b/>
          <w:bCs/>
          <w:color w:val="2F5496"/>
          <w:sz w:val="22"/>
          <w:szCs w:val="22"/>
        </w:rPr>
        <w:t xml:space="preserve">Q: 忘記密碼怎麼辦？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sz w:val="20"/>
          <w:szCs w:val="20"/>
        </w:rPr>
        <w:t xml:space="preserve">A: 請聯繫科別管理員協助重設密碼。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微軟正黑體" w:cs="微軟正黑體" w:eastAsia="微軟正黑體" w:hAnsi="微軟正黑體"/>
          <w:b/>
          <w:bCs/>
          <w:color w:val="2F5496"/>
          <w:sz w:val="22"/>
          <w:szCs w:val="22"/>
        </w:rPr>
        <w:t xml:space="preserve">Q: 初始密碼是什麼？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sz w:val="20"/>
          <w:szCs w:val="20"/>
        </w:rPr>
        <w:t xml:space="preserve">A: 初始密碼為您的 DOC 編號（大寫），例如帳號 DOC31024，初始密碼即為 DOC31024。建議首次登入後立即修改密碼。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微軟正黑體" w:cs="微軟正黑體" w:eastAsia="微軟正黑體" w:hAnsi="微軟正黑體"/>
          <w:b/>
          <w:bCs/>
          <w:color w:val="2F5496"/>
          <w:sz w:val="22"/>
          <w:szCs w:val="22"/>
        </w:rPr>
        <w:t xml:space="preserve">Q: 住院醫師可以看到自己的評核分數嗎？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sz w:val="20"/>
          <w:szCs w:val="20"/>
        </w:rPr>
        <w:t xml:space="preserve">A: 住院醫師可以看到自己的學習歷程與進度，但具體的教師質性回饋需由指導醫師在面談時提供。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微軟正黑體" w:cs="微軟正黑體" w:eastAsia="微軟正黑體" w:hAnsi="微軟正黑體"/>
          <w:b/>
          <w:bCs/>
          <w:color w:val="2F5496"/>
          <w:sz w:val="22"/>
          <w:szCs w:val="22"/>
        </w:rPr>
        <w:t xml:space="preserve">Q: 可以看到其他住院醫師的評核資料嗎？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sz w:val="20"/>
          <w:szCs w:val="20"/>
        </w:rPr>
        <w:t xml:space="preserve">A: 不行。住院醫師僅能查看自己的個人資料，無法瀏覽其他人的評核記錄。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微軟正黑體" w:cs="微軟正黑體" w:eastAsia="微軟正黑體" w:hAnsi="微軟正黑體"/>
          <w:b/>
          <w:bCs/>
          <w:color w:val="2F5496"/>
          <w:sz w:val="22"/>
          <w:szCs w:val="22"/>
        </w:rPr>
        <w:t xml:space="preserve">Q: 評核表單由誰填寫？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sz w:val="20"/>
          <w:szCs w:val="20"/>
        </w:rPr>
        <w:t xml:space="preserve">A: 操作技術、會議報告、EPA 評估均由主治醫師填寫。住院醫師僅可填寫研究進度登記。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微軟正黑體" w:cs="微軟正黑體" w:eastAsia="微軟正黑體" w:hAnsi="微軟正黑體"/>
          <w:b/>
          <w:bCs/>
          <w:color w:val="2F5496"/>
          <w:sz w:val="22"/>
          <w:szCs w:val="22"/>
        </w:rPr>
        <w:t xml:space="preserve">Q: EPA 有幾項？每項需要幾次？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sz w:val="20"/>
          <w:szCs w:val="20"/>
        </w:rPr>
        <w:t xml:space="preserve">A: 共 5 項 EPA（OPD、WARD、ED/DR、PICU/NICU、病歷書寫）。合資判定時，每個項目在近半年內需至少被評核 3 次以上。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微軟正黑體" w:cs="微軟正黑體" w:eastAsia="微軟正黑體" w:hAnsi="微軟正黑體"/>
          <w:b/>
          <w:bCs/>
          <w:color w:val="2F5496"/>
          <w:sz w:val="22"/>
          <w:szCs w:val="22"/>
        </w:rPr>
        <w:t xml:space="preserve">Q: 技能完成進度如何計算？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sz w:val="20"/>
          <w:szCs w:val="20"/>
        </w:rPr>
        <w:t xml:space="preserve">A: 每次操作評核 ≥2.5 分算完成一次；每項技術超過最低門檻次數不重複計算；總分母固定為 40 次（所有技術最低要求加總）。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微軟正黑體" w:cs="微軟正黑體" w:eastAsia="微軟正黑體" w:hAnsi="微軟正黑體"/>
          <w:b/>
          <w:bCs/>
          <w:color w:val="2F5496"/>
          <w:sz w:val="22"/>
          <w:szCs w:val="22"/>
        </w:rPr>
        <w:t xml:space="preserve">Q: R3 需要額外條件嗎？</w:t>
      </w:r>
    </w:p>
    <w:p>
      <w:pPr>
        <w:spacing w:after="60" w:before="60"/>
      </w:pPr>
      <w:r>
        <w:rPr>
          <w:rFonts w:ascii="微軟正黑體" w:cs="微軟正黑體" w:eastAsia="微軟正黑體" w:hAnsi="微軟正黑體"/>
          <w:b w:val="false"/>
          <w:bCs w:val="false"/>
          <w:sz w:val="20"/>
          <w:szCs w:val="20"/>
        </w:rPr>
        <w:t xml:space="preserve">A: 是的，R3 除了技能、EPA、會議報告三項標準外，還需至少完成一篇文章發表（狀態為接受或發表）。</w:t>
      </w:r>
    </w:p>
    <w:p>
      <w:pPr>
        <w:spacing w:after="60" w:before="60"/>
      </w:pPr>
      <w:r>
        <w:t xml:space="preserve"/>
      </w:r>
    </w:p>
    <w:p>
      <w:pPr>
        <w:spacing w:after="80" w:before="360"/>
        <w:jc w:val="center"/>
      </w:pPr>
      <w:r>
        <w:rPr>
          <w:rFonts w:ascii="微軟正黑體" w:cs="微軟正黑體" w:eastAsia="微軟正黑體" w:hAnsi="微軟正黑體"/>
          <w:color w:val="595959"/>
          <w:sz w:val="20"/>
          <w:szCs w:val="20"/>
        </w:rPr>
        <w:t xml:space="preserve">如有操作問題，請聯繫兒科 CCC 評核系統管理員。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微軟正黑體" w:cs="微軟正黑體" w:eastAsia="微軟正黑體" w:hAnsi="微軟正黑體"/>
        <w:color w:val="595959"/>
        <w:sz w:val="18"/>
        <w:szCs w:val="18"/>
      </w:rPr>
      <w:t xml:space="preserve">第 </w:t>
    </w:r>
    <w:r>
      <w:rPr>
        <w:rFonts w:ascii="微軟正黑體" w:cs="微軟正黑體" w:eastAsia="微軟正黑體" w:hAnsi="微軟正黑體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軟正黑體" w:cs="微軟正黑體" w:eastAsia="微軟正黑體" w:hAnsi="微軟正黑體"/>
        <w:color w:val="595959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微軟正黑體" w:cs="微軟正黑體" w:eastAsia="微軟正黑體" w:hAnsi="微軟正黑體"/>
        <w:color w:val="595959"/>
        <w:sz w:val="18"/>
        <w:szCs w:val="18"/>
      </w:rPr>
      <w:t xml:space="preserve">兒科住院醫師評核系統　住院醫師使用手冊</w:t>
    </w:r>
    <w:r>
      <w:rPr>
        <w:rFonts w:ascii="微軟正黑體" w:cs="微軟正黑體" w:eastAsia="微軟正黑體" w:hAnsi="微軟正黑體"/>
        <w:color w:val="595959"/>
        <w:sz w:val="18"/>
        <w:szCs w:val="18"/>
      </w:rPr>
      <w:t xml:space="preserve">	版本 1.2　2026/03/18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軟正黑體" w:cs="微軟正黑體" w:eastAsia="微軟正黑體" w:hAnsi="微軟正黑體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微軟正黑體" w:cs="微軟正黑體" w:eastAsia="微軟正黑體" w:hAnsi="微軟正黑體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微軟正黑體" w:cs="微軟正黑體" w:eastAsia="微軟正黑體" w:hAnsi="微軟正黑體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微軟正黑體" w:cs="微軟正黑體" w:eastAsia="微軟正黑體" w:hAnsi="微軟正黑體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2026-03-19T01:18:28.838Z</dcterms:created>
  <dcterms:modified xsi:type="dcterms:W3CDTF">2026-03-19T01:18:28.842Z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