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9A07B" w14:textId="4812CEAE" w:rsidR="00666526" w:rsidRDefault="007128C5" w:rsidP="0093180E">
      <w:pPr>
        <w:pStyle w:val="Heading1"/>
        <w:spacing w:line="480" w:lineRule="auto"/>
        <w:jc w:val="center"/>
        <w:rPr>
          <w:rFonts w:ascii="Arial" w:hAnsi="Arial" w:cs="Arial"/>
        </w:rPr>
      </w:pPr>
      <w:bookmarkStart w:id="0" w:name="_Hlk206669614"/>
      <w:r w:rsidRPr="0093180E">
        <w:rPr>
          <w:rFonts w:ascii="Arial" w:hAnsi="Arial" w:cs="Arial"/>
        </w:rPr>
        <w:t>Assessing the Financial Impact of Ransomware and Malware Attacks on the UK Healthcare Sector – A Literature Review</w:t>
      </w:r>
    </w:p>
    <w:p w14:paraId="2592F215" w14:textId="3AA13D26" w:rsidR="00881BA1" w:rsidRPr="00881BA1" w:rsidRDefault="00881BA1" w:rsidP="00881BA1">
      <w:pPr>
        <w:spacing w:line="480" w:lineRule="auto"/>
        <w:rPr>
          <w:rFonts w:ascii="Arial" w:hAnsi="Arial" w:cs="Arial"/>
          <w:sz w:val="24"/>
          <w:szCs w:val="24"/>
        </w:rPr>
      </w:pPr>
      <w:r>
        <w:rPr>
          <w:rFonts w:ascii="Arial" w:hAnsi="Arial" w:cs="Arial"/>
          <w:sz w:val="24"/>
          <w:szCs w:val="24"/>
        </w:rPr>
        <w:t>Word count: 208</w:t>
      </w:r>
      <w:r w:rsidR="000A25CF">
        <w:rPr>
          <w:rFonts w:ascii="Arial" w:hAnsi="Arial" w:cs="Arial"/>
          <w:sz w:val="24"/>
          <w:szCs w:val="24"/>
        </w:rPr>
        <w:t>8</w:t>
      </w:r>
      <w:r>
        <w:rPr>
          <w:rFonts w:ascii="Arial" w:hAnsi="Arial" w:cs="Arial"/>
          <w:sz w:val="24"/>
          <w:szCs w:val="24"/>
        </w:rPr>
        <w:t>/2000</w:t>
      </w:r>
    </w:p>
    <w:p w14:paraId="0AF32484" w14:textId="2D2F6C19" w:rsidR="00E619B9" w:rsidRPr="0093180E" w:rsidRDefault="00666526" w:rsidP="0093180E">
      <w:pPr>
        <w:pStyle w:val="Heading2"/>
        <w:numPr>
          <w:ilvl w:val="0"/>
          <w:numId w:val="4"/>
        </w:numPr>
        <w:spacing w:line="480" w:lineRule="auto"/>
        <w:rPr>
          <w:rFonts w:ascii="Arial" w:hAnsi="Arial" w:cs="Arial"/>
        </w:rPr>
      </w:pPr>
      <w:r w:rsidRPr="0093180E">
        <w:rPr>
          <w:rFonts w:ascii="Arial" w:hAnsi="Arial" w:cs="Arial"/>
        </w:rPr>
        <w:t>Introduction</w:t>
      </w:r>
    </w:p>
    <w:p w14:paraId="06C1CC3E" w14:textId="5B4BE289" w:rsidR="005C218F" w:rsidRDefault="00790E2C" w:rsidP="0093180E">
      <w:pPr>
        <w:spacing w:line="480" w:lineRule="auto"/>
        <w:jc w:val="both"/>
        <w:rPr>
          <w:rFonts w:ascii="Arial" w:hAnsi="Arial" w:cs="Arial"/>
          <w:sz w:val="24"/>
          <w:szCs w:val="24"/>
        </w:rPr>
      </w:pPr>
      <w:r>
        <w:rPr>
          <w:rFonts w:ascii="Arial" w:hAnsi="Arial" w:cs="Arial"/>
          <w:sz w:val="24"/>
          <w:szCs w:val="24"/>
        </w:rPr>
        <w:t xml:space="preserve">The Department of Health and Social Care (2018) reports that the 2017 WannaCry incident cost £92 million. Although this is a significant figure, aligning with the IBM (2025) finding that the healthcare sector is the costliest for data breaches, it lacks methodological transparency. It excludes indirect costs, such as long-term recovery, and intangible costs, including reputational damage. This paper aims to examine whether similar inconsistencies appear in the literature and to review how it assesses the financial impact of malware and ransomware attacks on the UK healthcare sector. </w:t>
      </w:r>
    </w:p>
    <w:p w14:paraId="0C86F5B1" w14:textId="78C6035A" w:rsidR="006A1C3C" w:rsidRPr="006A1C3C" w:rsidRDefault="006A1C3C" w:rsidP="006A1C3C">
      <w:pPr>
        <w:pStyle w:val="Heading2"/>
        <w:numPr>
          <w:ilvl w:val="0"/>
          <w:numId w:val="4"/>
        </w:numPr>
        <w:spacing w:line="480" w:lineRule="auto"/>
        <w:rPr>
          <w:rFonts w:ascii="Arial" w:hAnsi="Arial" w:cs="Arial"/>
        </w:rPr>
      </w:pPr>
      <w:r>
        <w:rPr>
          <w:rFonts w:ascii="Arial" w:hAnsi="Arial" w:cs="Arial"/>
        </w:rPr>
        <w:t>Methods</w:t>
      </w:r>
    </w:p>
    <w:p w14:paraId="50028946" w14:textId="1D3F0F07" w:rsidR="00BD7D75" w:rsidRDefault="00517024" w:rsidP="0093180E">
      <w:pPr>
        <w:spacing w:line="480" w:lineRule="auto"/>
        <w:jc w:val="both"/>
        <w:rPr>
          <w:rFonts w:ascii="Arial" w:hAnsi="Arial" w:cs="Arial"/>
          <w:sz w:val="24"/>
          <w:szCs w:val="24"/>
        </w:rPr>
      </w:pPr>
      <w:r>
        <w:rPr>
          <w:rFonts w:ascii="Arial" w:hAnsi="Arial" w:cs="Arial"/>
          <w:sz w:val="24"/>
          <w:szCs w:val="24"/>
        </w:rPr>
        <w:t>The literature is</w:t>
      </w:r>
      <w:r w:rsidR="00284E00">
        <w:rPr>
          <w:rFonts w:ascii="Arial" w:hAnsi="Arial" w:cs="Arial"/>
          <w:sz w:val="24"/>
          <w:szCs w:val="24"/>
        </w:rPr>
        <w:t xml:space="preserve"> reviewed through a critical-synthetic analysis, which involves appraising and synthesising case studies across common themes</w:t>
      </w:r>
      <w:r w:rsidR="007F79CC">
        <w:rPr>
          <w:rFonts w:ascii="Arial" w:hAnsi="Arial" w:cs="Arial"/>
          <w:sz w:val="24"/>
          <w:szCs w:val="24"/>
        </w:rPr>
        <w:t>, such as cost type, methodology, and source quality, and comparing them against real-world case studies</w:t>
      </w:r>
      <w:r w:rsidR="00284E00">
        <w:rPr>
          <w:rFonts w:ascii="Arial" w:hAnsi="Arial" w:cs="Arial"/>
          <w:sz w:val="24"/>
          <w:szCs w:val="24"/>
        </w:rPr>
        <w:t xml:space="preserve">. </w:t>
      </w:r>
      <w:r w:rsidR="00467E5B">
        <w:rPr>
          <w:rFonts w:ascii="Arial" w:hAnsi="Arial" w:cs="Arial"/>
          <w:sz w:val="24"/>
          <w:szCs w:val="24"/>
        </w:rPr>
        <w:t>Li</w:t>
      </w:r>
      <w:r w:rsidR="00284E00">
        <w:rPr>
          <w:rFonts w:ascii="Arial" w:hAnsi="Arial" w:cs="Arial"/>
          <w:sz w:val="24"/>
          <w:szCs w:val="24"/>
        </w:rPr>
        <w:t xml:space="preserve">terature is evaluated using AACODS, with </w:t>
      </w:r>
      <w:r w:rsidR="00543EB4">
        <w:rPr>
          <w:rFonts w:ascii="Arial" w:hAnsi="Arial" w:cs="Arial"/>
          <w:sz w:val="24"/>
          <w:szCs w:val="24"/>
        </w:rPr>
        <w:t>common weaknesses summarised accordingly.</w:t>
      </w:r>
    </w:p>
    <w:p w14:paraId="16003D40" w14:textId="68E2A2B0" w:rsidR="00A05FC7" w:rsidRDefault="008F5A3B" w:rsidP="0093180E">
      <w:pPr>
        <w:spacing w:line="480" w:lineRule="auto"/>
        <w:jc w:val="both"/>
        <w:rPr>
          <w:rFonts w:ascii="Arial" w:hAnsi="Arial" w:cs="Arial"/>
          <w:sz w:val="24"/>
          <w:szCs w:val="24"/>
        </w:rPr>
      </w:pPr>
      <w:r>
        <w:rPr>
          <w:rFonts w:ascii="Arial" w:hAnsi="Arial" w:cs="Arial"/>
          <w:sz w:val="24"/>
          <w:szCs w:val="24"/>
        </w:rPr>
        <w:t>Information is sourced</w:t>
      </w:r>
      <w:r w:rsidR="00284E00">
        <w:rPr>
          <w:rFonts w:ascii="Arial" w:hAnsi="Arial" w:cs="Arial"/>
          <w:sz w:val="24"/>
          <w:szCs w:val="24"/>
        </w:rPr>
        <w:t xml:space="preserve"> from the </w:t>
      </w:r>
      <w:r w:rsidR="00543EB4">
        <w:rPr>
          <w:rFonts w:ascii="Arial" w:hAnsi="Arial" w:cs="Arial"/>
          <w:sz w:val="24"/>
          <w:szCs w:val="24"/>
        </w:rPr>
        <w:t xml:space="preserve">online </w:t>
      </w:r>
      <w:r w:rsidR="00284E00">
        <w:rPr>
          <w:rFonts w:ascii="Arial" w:hAnsi="Arial" w:cs="Arial"/>
          <w:sz w:val="24"/>
          <w:szCs w:val="24"/>
        </w:rPr>
        <w:t>University of Essex Library</w:t>
      </w:r>
      <w:r w:rsidR="00543EB4">
        <w:rPr>
          <w:rFonts w:ascii="Arial" w:hAnsi="Arial" w:cs="Arial"/>
          <w:sz w:val="24"/>
          <w:szCs w:val="24"/>
        </w:rPr>
        <w:t xml:space="preserve"> </w:t>
      </w:r>
      <w:r w:rsidR="00284E00">
        <w:rPr>
          <w:rFonts w:ascii="Arial" w:hAnsi="Arial" w:cs="Arial"/>
          <w:sz w:val="24"/>
          <w:szCs w:val="24"/>
        </w:rPr>
        <w:t>and Google</w:t>
      </w:r>
      <w:r w:rsidR="00790E2C">
        <w:rPr>
          <w:rFonts w:ascii="Arial" w:hAnsi="Arial" w:cs="Arial"/>
          <w:sz w:val="24"/>
          <w:szCs w:val="24"/>
        </w:rPr>
        <w:t xml:space="preserve"> databases</w:t>
      </w:r>
      <w:r w:rsidR="00284E00">
        <w:rPr>
          <w:rFonts w:ascii="Arial" w:hAnsi="Arial" w:cs="Arial"/>
          <w:sz w:val="24"/>
          <w:szCs w:val="24"/>
        </w:rPr>
        <w:t xml:space="preserve">, focusing on the period from 2017 to 2025 and capturing evidence following the WannaCry attack. The search terms combine “ransomware OR malware” with </w:t>
      </w:r>
      <w:r w:rsidR="00284E00">
        <w:rPr>
          <w:rFonts w:ascii="Arial" w:hAnsi="Arial" w:cs="Arial"/>
          <w:sz w:val="24"/>
          <w:szCs w:val="24"/>
        </w:rPr>
        <w:lastRenderedPageBreak/>
        <w:t>“cost* OR financ* OR econom*”. Costs are classified as direct, indirect, and intangible, reflecting prior research in cyber-economics (Ghafur et al., 2019).</w:t>
      </w:r>
    </w:p>
    <w:p w14:paraId="3CC52B37" w14:textId="39D08F7E" w:rsidR="003A77A3" w:rsidRPr="0093180E" w:rsidRDefault="00864E32" w:rsidP="00E619B9">
      <w:pPr>
        <w:pStyle w:val="Heading2"/>
        <w:numPr>
          <w:ilvl w:val="0"/>
          <w:numId w:val="4"/>
        </w:numPr>
        <w:spacing w:line="480" w:lineRule="auto"/>
        <w:rPr>
          <w:rFonts w:ascii="Arial" w:hAnsi="Arial" w:cs="Arial"/>
        </w:rPr>
      </w:pPr>
      <w:r>
        <w:rPr>
          <w:rFonts w:ascii="Arial" w:hAnsi="Arial" w:cs="Arial"/>
        </w:rPr>
        <w:t xml:space="preserve">Defining </w:t>
      </w:r>
      <w:r w:rsidR="007E6F1B">
        <w:rPr>
          <w:rFonts w:ascii="Arial" w:hAnsi="Arial" w:cs="Arial"/>
        </w:rPr>
        <w:t>m</w:t>
      </w:r>
      <w:r w:rsidR="003A77A3" w:rsidRPr="0093180E">
        <w:rPr>
          <w:rFonts w:ascii="Arial" w:hAnsi="Arial" w:cs="Arial"/>
        </w:rPr>
        <w:t>alware</w:t>
      </w:r>
    </w:p>
    <w:p w14:paraId="6C13B31D" w14:textId="5B4429CA" w:rsidR="005B1007" w:rsidRDefault="008F5A3B" w:rsidP="0093180E">
      <w:pPr>
        <w:spacing w:line="480" w:lineRule="auto"/>
        <w:jc w:val="both"/>
        <w:rPr>
          <w:rFonts w:ascii="Arial" w:hAnsi="Arial" w:cs="Arial"/>
          <w:sz w:val="24"/>
          <w:szCs w:val="24"/>
        </w:rPr>
      </w:pPr>
      <w:r>
        <w:rPr>
          <w:rFonts w:ascii="Arial" w:hAnsi="Arial" w:cs="Arial"/>
          <w:sz w:val="24"/>
          <w:szCs w:val="24"/>
        </w:rPr>
        <w:t xml:space="preserve">Findings indicate that the literature provides broad definitions of malware through taxonomies and classifications; however, these definitions have limited practical value for financial assessments within the healthcare sector. For example, the Cybersecurity Body of Knowledge (CyBOK) offers a taxonomy based on technical aspects such as initiation methods and operational locations within the information system. Although </w:t>
      </w:r>
      <w:r w:rsidR="00392E56">
        <w:rPr>
          <w:rFonts w:ascii="Arial" w:hAnsi="Arial" w:cs="Arial"/>
          <w:sz w:val="24"/>
          <w:szCs w:val="24"/>
        </w:rPr>
        <w:t>CyBOK</w:t>
      </w:r>
      <w:r>
        <w:rPr>
          <w:rFonts w:ascii="Arial" w:hAnsi="Arial" w:cs="Arial"/>
          <w:sz w:val="24"/>
          <w:szCs w:val="24"/>
        </w:rPr>
        <w:t xml:space="preserve"> is an authoritative source, the taxonomy is general and therefore lacks relevance to healthcare cost analyses. Liao et al. (2025) present an alternative categorisation, classifying Internet of Things (IoT) malware into families, but omit an examination of their economic impacts. This reduces its usefulness in healthcare cost modelling. Overall, these taxonomies emphasise technical details over financial effects. Consequently, they are less </w:t>
      </w:r>
      <w:r w:rsidR="00392E56">
        <w:rPr>
          <w:rFonts w:ascii="Arial" w:hAnsi="Arial" w:cs="Arial"/>
          <w:sz w:val="24"/>
          <w:szCs w:val="24"/>
        </w:rPr>
        <w:t>valuable</w:t>
      </w:r>
      <w:r>
        <w:rPr>
          <w:rFonts w:ascii="Arial" w:hAnsi="Arial" w:cs="Arial"/>
          <w:sz w:val="24"/>
          <w:szCs w:val="24"/>
        </w:rPr>
        <w:t xml:space="preserve"> to healthcare stakeholders, who require financial risk modelling rather than technical categorisation.</w:t>
      </w:r>
    </w:p>
    <w:p w14:paraId="01AA895D" w14:textId="36E69B11" w:rsidR="00C76C70" w:rsidRPr="0093180E" w:rsidRDefault="00C76C70" w:rsidP="0093180E">
      <w:pPr>
        <w:pStyle w:val="Heading2"/>
        <w:numPr>
          <w:ilvl w:val="0"/>
          <w:numId w:val="4"/>
        </w:numPr>
        <w:spacing w:line="480" w:lineRule="auto"/>
        <w:rPr>
          <w:rFonts w:ascii="Arial" w:hAnsi="Arial" w:cs="Arial"/>
        </w:rPr>
      </w:pPr>
      <w:r w:rsidRPr="0093180E">
        <w:rPr>
          <w:rFonts w:ascii="Arial" w:hAnsi="Arial" w:cs="Arial"/>
        </w:rPr>
        <w:t xml:space="preserve">Availability of </w:t>
      </w:r>
      <w:r w:rsidR="007E6F1B">
        <w:rPr>
          <w:rFonts w:ascii="Arial" w:hAnsi="Arial" w:cs="Arial"/>
        </w:rPr>
        <w:t>m</w:t>
      </w:r>
      <w:r w:rsidR="00F742F8">
        <w:rPr>
          <w:rFonts w:ascii="Arial" w:hAnsi="Arial" w:cs="Arial"/>
        </w:rPr>
        <w:t>alware</w:t>
      </w:r>
    </w:p>
    <w:p w14:paraId="2A749B4E" w14:textId="51915028" w:rsidR="00676FEB" w:rsidRPr="00676FEB" w:rsidRDefault="00E619B9" w:rsidP="00676FEB">
      <w:pPr>
        <w:pStyle w:val="Subtitle"/>
        <w:spacing w:line="480" w:lineRule="auto"/>
        <w:rPr>
          <w:rFonts w:ascii="Arial" w:hAnsi="Arial" w:cs="Arial"/>
        </w:rPr>
      </w:pPr>
      <w:r w:rsidRPr="0093180E">
        <w:rPr>
          <w:rFonts w:ascii="Arial" w:hAnsi="Arial" w:cs="Arial"/>
        </w:rPr>
        <w:t>Ransomware-as-a-Service</w:t>
      </w:r>
    </w:p>
    <w:p w14:paraId="56AD1226" w14:textId="29E05498" w:rsidR="00141EF3" w:rsidRDefault="008F5A3B" w:rsidP="00C76C70">
      <w:pPr>
        <w:spacing w:line="480" w:lineRule="auto"/>
        <w:jc w:val="both"/>
        <w:rPr>
          <w:rFonts w:ascii="Arial" w:hAnsi="Arial" w:cs="Arial"/>
          <w:sz w:val="24"/>
          <w:szCs w:val="24"/>
        </w:rPr>
      </w:pPr>
      <w:r>
        <w:rPr>
          <w:rFonts w:ascii="Arial" w:hAnsi="Arial" w:cs="Arial"/>
          <w:sz w:val="24"/>
          <w:szCs w:val="24"/>
        </w:rPr>
        <w:t>When discussing the availability of malware, th</w:t>
      </w:r>
      <w:r w:rsidR="00F742F8">
        <w:rPr>
          <w:rFonts w:ascii="Arial" w:hAnsi="Arial" w:cs="Arial"/>
          <w:sz w:val="24"/>
          <w:szCs w:val="24"/>
        </w:rPr>
        <w:t>e literature highlights how</w:t>
      </w:r>
      <w:r>
        <w:rPr>
          <w:rFonts w:ascii="Arial" w:hAnsi="Arial" w:cs="Arial"/>
          <w:sz w:val="24"/>
          <w:szCs w:val="24"/>
        </w:rPr>
        <w:t xml:space="preserve"> it </w:t>
      </w:r>
      <w:r w:rsidR="00F742F8">
        <w:rPr>
          <w:rFonts w:ascii="Arial" w:hAnsi="Arial" w:cs="Arial"/>
          <w:sz w:val="24"/>
          <w:szCs w:val="24"/>
        </w:rPr>
        <w:t>is facilitated through Ransomware-as-a-Service (RaaS). Holdsworth and Kosinski (2024) describe this service as reflecting Software-as-a-Service (SaaS) models</w:t>
      </w:r>
      <w:r w:rsidR="00ED5BE9">
        <w:rPr>
          <w:rFonts w:ascii="Arial" w:hAnsi="Arial" w:cs="Arial"/>
          <w:sz w:val="24"/>
          <w:szCs w:val="24"/>
        </w:rPr>
        <w:t xml:space="preserve">, </w:t>
      </w:r>
      <w:r w:rsidR="00F742F8">
        <w:rPr>
          <w:rFonts w:ascii="Arial" w:hAnsi="Arial" w:cs="Arial"/>
          <w:sz w:val="24"/>
          <w:szCs w:val="24"/>
        </w:rPr>
        <w:t>while Kim (2025) discusses how cryptocurrencies that enable anonymity are supporting this service. Together, these studies demonstrate how easily the pool of malicious actors is expanding,</w:t>
      </w:r>
      <w:r>
        <w:rPr>
          <w:rFonts w:ascii="Arial" w:hAnsi="Arial" w:cs="Arial"/>
          <w:sz w:val="24"/>
          <w:szCs w:val="24"/>
        </w:rPr>
        <w:t xml:space="preserve"> resulting in</w:t>
      </w:r>
      <w:r w:rsidR="00F742F8">
        <w:rPr>
          <w:rFonts w:ascii="Arial" w:hAnsi="Arial" w:cs="Arial"/>
          <w:sz w:val="24"/>
          <w:szCs w:val="24"/>
        </w:rPr>
        <w:t xml:space="preserve"> increased unpredictability in the frequency of attacks.</w:t>
      </w:r>
    </w:p>
    <w:p w14:paraId="1110806B" w14:textId="03FB86C7" w:rsidR="005A64BB" w:rsidRPr="0093180E" w:rsidRDefault="005800B4" w:rsidP="00C76C70">
      <w:pPr>
        <w:spacing w:line="480" w:lineRule="auto"/>
        <w:jc w:val="both"/>
        <w:rPr>
          <w:rFonts w:ascii="Arial" w:hAnsi="Arial" w:cs="Arial"/>
          <w:sz w:val="24"/>
          <w:szCs w:val="24"/>
        </w:rPr>
      </w:pPr>
      <w:r>
        <w:rPr>
          <w:rFonts w:ascii="Arial" w:hAnsi="Arial" w:cs="Arial"/>
          <w:sz w:val="24"/>
          <w:szCs w:val="24"/>
        </w:rPr>
        <w:lastRenderedPageBreak/>
        <w:t xml:space="preserve">The first study is a reputable source on the topic, originating from the industry-recognised IBM. However, it limits its financial analysis to law enforcement involvement, neglecting sector-specific economic impacts. Kim (2025), although recent, focuses on the criminal aspects of the technology and dark web operations, reducing its </w:t>
      </w:r>
      <w:r w:rsidR="008F5A3B">
        <w:rPr>
          <w:rFonts w:ascii="Arial" w:hAnsi="Arial" w:cs="Arial"/>
          <w:sz w:val="24"/>
          <w:szCs w:val="24"/>
        </w:rPr>
        <w:t>significance</w:t>
      </w:r>
      <w:r>
        <w:rPr>
          <w:rFonts w:ascii="Arial" w:hAnsi="Arial" w:cs="Arial"/>
          <w:sz w:val="24"/>
          <w:szCs w:val="24"/>
        </w:rPr>
        <w:t xml:space="preserve"> in cost modelling for the UK healthcare sector. Reflecting the literature findings, this may leave the healthcare sector without a solid evidence base to quantify financial risks or plan effective resilience measures. This is important given the underexplored nature of cryptocurrency volatility and the unpredictability of </w:t>
      </w:r>
      <w:r w:rsidR="008F5A3B">
        <w:rPr>
          <w:rFonts w:ascii="Arial" w:hAnsi="Arial" w:cs="Arial"/>
          <w:sz w:val="24"/>
          <w:szCs w:val="24"/>
        </w:rPr>
        <w:t>malware.</w:t>
      </w:r>
    </w:p>
    <w:p w14:paraId="0FDEF0BB" w14:textId="3853D71E" w:rsidR="00E619B9" w:rsidRPr="0093180E" w:rsidRDefault="008F5A3B" w:rsidP="00E619B9">
      <w:pPr>
        <w:pStyle w:val="Subtitle"/>
        <w:spacing w:line="480" w:lineRule="auto"/>
        <w:rPr>
          <w:rFonts w:ascii="Arial" w:hAnsi="Arial" w:cs="Arial"/>
        </w:rPr>
      </w:pPr>
      <w:r>
        <w:rPr>
          <w:rFonts w:ascii="Arial" w:hAnsi="Arial" w:cs="Arial"/>
        </w:rPr>
        <w:t xml:space="preserve">Preventing </w:t>
      </w:r>
      <w:r w:rsidR="007E6F1B">
        <w:rPr>
          <w:rFonts w:ascii="Arial" w:hAnsi="Arial" w:cs="Arial"/>
        </w:rPr>
        <w:t>a</w:t>
      </w:r>
      <w:r>
        <w:rPr>
          <w:rFonts w:ascii="Arial" w:hAnsi="Arial" w:cs="Arial"/>
        </w:rPr>
        <w:t>vailability</w:t>
      </w:r>
    </w:p>
    <w:p w14:paraId="6FC8D84C" w14:textId="77777777" w:rsidR="002C48CD" w:rsidRDefault="002C48CD" w:rsidP="00E619B9">
      <w:pPr>
        <w:spacing w:line="480" w:lineRule="auto"/>
        <w:jc w:val="both"/>
        <w:rPr>
          <w:rFonts w:ascii="Arial" w:hAnsi="Arial" w:cs="Arial"/>
          <w:sz w:val="24"/>
          <w:szCs w:val="24"/>
        </w:rPr>
      </w:pPr>
      <w:r>
        <w:rPr>
          <w:rFonts w:ascii="Arial" w:hAnsi="Arial" w:cs="Arial"/>
          <w:sz w:val="24"/>
          <w:szCs w:val="24"/>
        </w:rPr>
        <w:t xml:space="preserve">To prevent the spread of malware, the literature discusses issues such as the global nature of cybercrime and the associated legal complexities. For example, Jiang, Chen, and Wang (2025) examine various methods for accessing dark web content and the necessity for law enforcement innovation to counter threats. </w:t>
      </w:r>
      <w:r w:rsidR="00631D51">
        <w:rPr>
          <w:rFonts w:ascii="Arial" w:hAnsi="Arial" w:cs="Arial"/>
          <w:sz w:val="24"/>
          <w:szCs w:val="24"/>
        </w:rPr>
        <w:t>Similarly, at the policy level, Arnell and Faturoti (2022) cite collective state action as the preferred approach</w:t>
      </w:r>
      <w:r>
        <w:rPr>
          <w:rFonts w:ascii="Arial" w:hAnsi="Arial" w:cs="Arial"/>
          <w:sz w:val="24"/>
          <w:szCs w:val="24"/>
        </w:rPr>
        <w:t xml:space="preserve">. </w:t>
      </w:r>
    </w:p>
    <w:p w14:paraId="0AFDF46E" w14:textId="539AAC52" w:rsidR="00464E46" w:rsidRDefault="002C48CD" w:rsidP="00E619B9">
      <w:pPr>
        <w:spacing w:line="480" w:lineRule="auto"/>
        <w:jc w:val="both"/>
        <w:rPr>
          <w:rFonts w:ascii="Arial" w:hAnsi="Arial" w:cs="Arial"/>
          <w:sz w:val="24"/>
          <w:szCs w:val="24"/>
        </w:rPr>
      </w:pPr>
      <w:r>
        <w:rPr>
          <w:rFonts w:ascii="Arial" w:hAnsi="Arial" w:cs="Arial"/>
          <w:sz w:val="24"/>
          <w:szCs w:val="24"/>
        </w:rPr>
        <w:t xml:space="preserve">Together, these sources, while effectively conceptualising a stop to cybercrime and thus malware, fail to explore sector-specific impacts. The generalised view does not translate well to the UK healthcare sector context, where resources such as redundant systems and budgets for patient intake are often localised. Nor do they account for the minimal deterrence hostile actors face. This creates a greater threat to the UK healthcare sector, where operational downtime has more severe consequences than financial ones compared to other areas. </w:t>
      </w:r>
    </w:p>
    <w:p w14:paraId="0883E140" w14:textId="0CC44372" w:rsidR="00990EF9" w:rsidRPr="0093180E" w:rsidRDefault="00990EF9" w:rsidP="00990EF9">
      <w:pPr>
        <w:pStyle w:val="Heading2"/>
        <w:numPr>
          <w:ilvl w:val="0"/>
          <w:numId w:val="4"/>
        </w:numPr>
        <w:spacing w:line="480" w:lineRule="auto"/>
        <w:rPr>
          <w:rFonts w:ascii="Arial" w:hAnsi="Arial" w:cs="Arial"/>
        </w:rPr>
      </w:pPr>
      <w:r w:rsidRPr="0093180E">
        <w:rPr>
          <w:rFonts w:ascii="Arial" w:hAnsi="Arial" w:cs="Arial"/>
        </w:rPr>
        <w:lastRenderedPageBreak/>
        <w:t xml:space="preserve">Sociotechnical </w:t>
      </w:r>
      <w:r w:rsidR="007E6F1B">
        <w:rPr>
          <w:rFonts w:ascii="Arial" w:hAnsi="Arial" w:cs="Arial"/>
        </w:rPr>
        <w:t>v</w:t>
      </w:r>
      <w:r w:rsidRPr="0093180E">
        <w:rPr>
          <w:rFonts w:ascii="Arial" w:hAnsi="Arial" w:cs="Arial"/>
        </w:rPr>
        <w:t>ulnerabilities</w:t>
      </w:r>
    </w:p>
    <w:p w14:paraId="6F6EDFA3" w14:textId="77777777" w:rsidR="004C6516" w:rsidRDefault="00C053E8" w:rsidP="00E619B9">
      <w:pPr>
        <w:spacing w:line="480" w:lineRule="auto"/>
        <w:jc w:val="both"/>
        <w:rPr>
          <w:rFonts w:ascii="Arial" w:hAnsi="Arial" w:cs="Arial"/>
          <w:sz w:val="24"/>
          <w:szCs w:val="24"/>
        </w:rPr>
      </w:pPr>
      <w:r>
        <w:rPr>
          <w:rFonts w:ascii="Arial" w:hAnsi="Arial" w:cs="Arial"/>
          <w:sz w:val="24"/>
          <w:szCs w:val="24"/>
        </w:rPr>
        <w:t xml:space="preserve">Sociotechnical vulnerabilities are often viewed as persistent issues in healthcare. Abed and Griffiths (2019) highlight unpatched systems, while Yaacoub et al. (2020) and Ewoh and Vartianen (2024) identify security gaps in Internet of Medical Things (IoMT) devices. </w:t>
      </w:r>
    </w:p>
    <w:p w14:paraId="1CC62003" w14:textId="6E719F88" w:rsidR="00980075" w:rsidRDefault="00155BAA" w:rsidP="00E619B9">
      <w:pPr>
        <w:spacing w:line="480" w:lineRule="auto"/>
        <w:jc w:val="both"/>
        <w:rPr>
          <w:rFonts w:ascii="Arial" w:hAnsi="Arial" w:cs="Arial"/>
          <w:sz w:val="24"/>
          <w:szCs w:val="24"/>
        </w:rPr>
      </w:pPr>
      <w:r>
        <w:rPr>
          <w:rFonts w:ascii="Arial" w:hAnsi="Arial" w:cs="Arial"/>
          <w:sz w:val="24"/>
          <w:szCs w:val="24"/>
        </w:rPr>
        <w:t xml:space="preserve">An AACODS appraisal </w:t>
      </w:r>
      <w:r w:rsidR="00881BA1">
        <w:rPr>
          <w:rFonts w:ascii="Arial" w:hAnsi="Arial" w:cs="Arial"/>
          <w:sz w:val="24"/>
          <w:szCs w:val="24"/>
        </w:rPr>
        <w:t>reveals that the two IoMT studies are highly valued for their relevance to the sector; however, the Yaacoub study does not thoroughly investigate the financial impact as do</w:t>
      </w:r>
      <w:r>
        <w:rPr>
          <w:rFonts w:ascii="Arial" w:hAnsi="Arial" w:cs="Arial"/>
          <w:sz w:val="24"/>
          <w:szCs w:val="24"/>
        </w:rPr>
        <w:t xml:space="preserve"> the Ewoh and Vartianen studies. The Abed and Griffiths (2019) white paper covers the direct costs, but its limited objectivity is concerning because it promotes a service. Overall, these inconsistencies </w:t>
      </w:r>
      <w:r w:rsidR="00881BA1">
        <w:rPr>
          <w:rFonts w:ascii="Arial" w:hAnsi="Arial" w:cs="Arial"/>
          <w:sz w:val="24"/>
          <w:szCs w:val="24"/>
        </w:rPr>
        <w:t>diminish their ability to provide an impartial assessment of the financial impact</w:t>
      </w:r>
      <w:r>
        <w:rPr>
          <w:rFonts w:ascii="Arial" w:hAnsi="Arial" w:cs="Arial"/>
          <w:sz w:val="24"/>
          <w:szCs w:val="24"/>
        </w:rPr>
        <w:t xml:space="preserve"> of ransomware attacks on the UK healthcare sector.</w:t>
      </w:r>
    </w:p>
    <w:p w14:paraId="7C16E2D1" w14:textId="27DE4F4C" w:rsidR="003B3227" w:rsidRDefault="00155BAA" w:rsidP="00E619B9">
      <w:pPr>
        <w:spacing w:line="480" w:lineRule="auto"/>
        <w:jc w:val="both"/>
        <w:rPr>
          <w:rFonts w:ascii="Arial" w:hAnsi="Arial" w:cs="Arial"/>
          <w:sz w:val="24"/>
          <w:szCs w:val="24"/>
        </w:rPr>
      </w:pPr>
      <w:r>
        <w:rPr>
          <w:rFonts w:ascii="Arial" w:hAnsi="Arial" w:cs="Arial"/>
          <w:sz w:val="24"/>
          <w:szCs w:val="24"/>
        </w:rPr>
        <w:t xml:space="preserve">Another sociotechnical vulnerability is the complexity of the UK healthcare sector. The Department of Health and Social Care (2023) notes that it makes the system susceptible to vulnerabilities caused by third-party weaknesses. Greenwood, Khajeh-Hosseini, and Sommerville (2010) agree, arguing that the “socio-complexity” of the sector is the leading cause of IT failures, rather than technical issues. While the date of the latter study may be a concern, its themes are persistent across later literature. For example, Dissanayake et al. (2022) highlight that socio-technical challenges have persisted for over a decade. These analyses emphasise sociotechnical vulnerabilities as a constant threat to the financial stability of the UK healthcare sector. </w:t>
      </w:r>
    </w:p>
    <w:p w14:paraId="2D1BB0C7" w14:textId="0949D846" w:rsidR="00DE2083" w:rsidRPr="0093180E" w:rsidRDefault="00DE2083" w:rsidP="00DE2083">
      <w:pPr>
        <w:pStyle w:val="Heading2"/>
        <w:numPr>
          <w:ilvl w:val="0"/>
          <w:numId w:val="4"/>
        </w:numPr>
        <w:spacing w:line="480" w:lineRule="auto"/>
        <w:rPr>
          <w:rFonts w:ascii="Arial" w:hAnsi="Arial" w:cs="Arial"/>
        </w:rPr>
      </w:pPr>
      <w:r w:rsidRPr="0093180E">
        <w:rPr>
          <w:rFonts w:ascii="Arial" w:hAnsi="Arial" w:cs="Arial"/>
        </w:rPr>
        <w:lastRenderedPageBreak/>
        <w:t xml:space="preserve">Incident </w:t>
      </w:r>
      <w:r w:rsidR="007E6F1B">
        <w:rPr>
          <w:rFonts w:ascii="Arial" w:hAnsi="Arial" w:cs="Arial"/>
        </w:rPr>
        <w:t>r</w:t>
      </w:r>
      <w:r w:rsidRPr="0093180E">
        <w:rPr>
          <w:rFonts w:ascii="Arial" w:hAnsi="Arial" w:cs="Arial"/>
        </w:rPr>
        <w:t xml:space="preserve">esponse &amp; </w:t>
      </w:r>
      <w:r w:rsidR="007E6F1B">
        <w:rPr>
          <w:rFonts w:ascii="Arial" w:hAnsi="Arial" w:cs="Arial"/>
        </w:rPr>
        <w:t>r</w:t>
      </w:r>
      <w:r w:rsidRPr="0093180E">
        <w:rPr>
          <w:rFonts w:ascii="Arial" w:hAnsi="Arial" w:cs="Arial"/>
        </w:rPr>
        <w:t>ecovery</w:t>
      </w:r>
    </w:p>
    <w:p w14:paraId="3058A81A" w14:textId="36441EA3" w:rsidR="00CB4B10" w:rsidRDefault="003B0F93" w:rsidP="00E619B9">
      <w:pPr>
        <w:spacing w:line="480" w:lineRule="auto"/>
        <w:jc w:val="both"/>
        <w:rPr>
          <w:rFonts w:ascii="Arial" w:hAnsi="Arial" w:cs="Arial"/>
          <w:sz w:val="24"/>
          <w:szCs w:val="24"/>
        </w:rPr>
      </w:pPr>
      <w:r>
        <w:rPr>
          <w:rFonts w:ascii="Arial" w:hAnsi="Arial" w:cs="Arial"/>
          <w:sz w:val="24"/>
          <w:szCs w:val="24"/>
        </w:rPr>
        <w:t xml:space="preserve">Empirical studies by </w:t>
      </w:r>
      <w:r w:rsidR="00EE080F">
        <w:rPr>
          <w:rFonts w:ascii="Arial" w:hAnsi="Arial" w:cs="Arial"/>
          <w:sz w:val="24"/>
          <w:szCs w:val="24"/>
        </w:rPr>
        <w:t xml:space="preserve">Ghafur et al. (2019) </w:t>
      </w:r>
      <w:r w:rsidR="005C605D">
        <w:rPr>
          <w:rFonts w:ascii="Arial" w:hAnsi="Arial" w:cs="Arial"/>
          <w:sz w:val="24"/>
          <w:szCs w:val="24"/>
        </w:rPr>
        <w:t>quantify the costs of the WannaCry attack, noting</w:t>
      </w:r>
      <w:r>
        <w:rPr>
          <w:rFonts w:ascii="Arial" w:hAnsi="Arial" w:cs="Arial"/>
          <w:sz w:val="24"/>
          <w:szCs w:val="24"/>
        </w:rPr>
        <w:t xml:space="preserve"> a 6% reduction in hospital activity during the incident, equivalent to £5.9 million</w:t>
      </w:r>
      <w:r w:rsidR="005C605D">
        <w:rPr>
          <w:rFonts w:ascii="Arial" w:hAnsi="Arial" w:cs="Arial"/>
          <w:sz w:val="24"/>
          <w:szCs w:val="24"/>
        </w:rPr>
        <w:t xml:space="preserve">. This highlights </w:t>
      </w:r>
      <w:r>
        <w:rPr>
          <w:rFonts w:ascii="Arial" w:hAnsi="Arial" w:cs="Arial"/>
          <w:sz w:val="24"/>
          <w:szCs w:val="24"/>
        </w:rPr>
        <w:t>the importance of</w:t>
      </w:r>
      <w:r w:rsidR="00EE080F">
        <w:rPr>
          <w:rFonts w:ascii="Arial" w:hAnsi="Arial" w:cs="Arial"/>
          <w:sz w:val="24"/>
          <w:szCs w:val="24"/>
        </w:rPr>
        <w:t xml:space="preserve"> incident recovery</w:t>
      </w:r>
      <w:r w:rsidR="006E71EE">
        <w:rPr>
          <w:rFonts w:ascii="Arial" w:hAnsi="Arial" w:cs="Arial"/>
          <w:sz w:val="24"/>
          <w:szCs w:val="24"/>
        </w:rPr>
        <w:t xml:space="preserve"> and response</w:t>
      </w:r>
      <w:r w:rsidR="00EE080F">
        <w:rPr>
          <w:rFonts w:ascii="Arial" w:hAnsi="Arial" w:cs="Arial"/>
          <w:sz w:val="24"/>
          <w:szCs w:val="24"/>
        </w:rPr>
        <w:t>.</w:t>
      </w:r>
      <w:r>
        <w:rPr>
          <w:rFonts w:ascii="Arial" w:hAnsi="Arial" w:cs="Arial"/>
          <w:sz w:val="24"/>
          <w:szCs w:val="24"/>
        </w:rPr>
        <w:t xml:space="preserve"> The Department of Health and Social Care (2018) </w:t>
      </w:r>
      <w:r w:rsidR="005C605D">
        <w:rPr>
          <w:rFonts w:ascii="Arial" w:hAnsi="Arial" w:cs="Arial"/>
          <w:sz w:val="24"/>
          <w:szCs w:val="24"/>
        </w:rPr>
        <w:t xml:space="preserve">provides further quantification, </w:t>
      </w:r>
      <w:r>
        <w:rPr>
          <w:rFonts w:ascii="Arial" w:hAnsi="Arial" w:cs="Arial"/>
          <w:sz w:val="24"/>
          <w:szCs w:val="24"/>
        </w:rPr>
        <w:t>stat</w:t>
      </w:r>
      <w:r w:rsidR="005C605D">
        <w:rPr>
          <w:rFonts w:ascii="Arial" w:hAnsi="Arial" w:cs="Arial"/>
          <w:sz w:val="24"/>
          <w:szCs w:val="24"/>
        </w:rPr>
        <w:t>ing</w:t>
      </w:r>
      <w:r>
        <w:rPr>
          <w:rFonts w:ascii="Arial" w:hAnsi="Arial" w:cs="Arial"/>
          <w:sz w:val="24"/>
          <w:szCs w:val="24"/>
        </w:rPr>
        <w:t xml:space="preserve"> the attack cost </w:t>
      </w:r>
      <w:r w:rsidR="00EE080F">
        <w:rPr>
          <w:rFonts w:ascii="Arial" w:hAnsi="Arial" w:cs="Arial"/>
          <w:sz w:val="24"/>
          <w:szCs w:val="24"/>
        </w:rPr>
        <w:t>£92 million</w:t>
      </w:r>
      <w:r>
        <w:rPr>
          <w:rFonts w:ascii="Arial" w:hAnsi="Arial" w:cs="Arial"/>
          <w:sz w:val="24"/>
          <w:szCs w:val="24"/>
        </w:rPr>
        <w:t xml:space="preserve">; however, an AACODS appraisal shows limited coverage </w:t>
      </w:r>
      <w:r w:rsidR="005C605D">
        <w:rPr>
          <w:rFonts w:ascii="Arial" w:hAnsi="Arial" w:cs="Arial"/>
          <w:sz w:val="24"/>
          <w:szCs w:val="24"/>
        </w:rPr>
        <w:t xml:space="preserve">of intangible costs, such as reputational damage </w:t>
      </w:r>
      <w:r w:rsidR="004C6516">
        <w:rPr>
          <w:rFonts w:ascii="Arial" w:hAnsi="Arial" w:cs="Arial"/>
          <w:sz w:val="24"/>
          <w:szCs w:val="24"/>
        </w:rPr>
        <w:t>leading to</w:t>
      </w:r>
      <w:r w:rsidR="005C605D">
        <w:rPr>
          <w:rFonts w:ascii="Arial" w:hAnsi="Arial" w:cs="Arial"/>
          <w:sz w:val="24"/>
          <w:szCs w:val="24"/>
        </w:rPr>
        <w:t xml:space="preserve"> lost referrals</w:t>
      </w:r>
      <w:r>
        <w:rPr>
          <w:rFonts w:ascii="Arial" w:hAnsi="Arial" w:cs="Arial"/>
          <w:sz w:val="24"/>
          <w:szCs w:val="24"/>
        </w:rPr>
        <w:t>.</w:t>
      </w:r>
      <w:r w:rsidR="005C605D">
        <w:rPr>
          <w:rFonts w:ascii="Arial" w:hAnsi="Arial" w:cs="Arial"/>
          <w:sz w:val="24"/>
          <w:szCs w:val="24"/>
        </w:rPr>
        <w:t xml:space="preserve"> This means that long-term costs are frequently underestimated.</w:t>
      </w:r>
      <w:r>
        <w:rPr>
          <w:rFonts w:ascii="Arial" w:hAnsi="Arial" w:cs="Arial"/>
          <w:sz w:val="24"/>
          <w:szCs w:val="24"/>
        </w:rPr>
        <w:t xml:space="preserve"> </w:t>
      </w:r>
    </w:p>
    <w:p w14:paraId="64946CB8" w14:textId="448EC4D1" w:rsidR="00DE2083" w:rsidRPr="0093180E" w:rsidRDefault="00F16B75" w:rsidP="00E619B9">
      <w:pPr>
        <w:spacing w:line="480" w:lineRule="auto"/>
        <w:jc w:val="both"/>
        <w:rPr>
          <w:rFonts w:ascii="Arial" w:hAnsi="Arial" w:cs="Arial"/>
          <w:sz w:val="24"/>
          <w:szCs w:val="24"/>
        </w:rPr>
      </w:pPr>
      <w:r>
        <w:rPr>
          <w:rFonts w:ascii="Arial" w:hAnsi="Arial" w:cs="Arial"/>
          <w:sz w:val="24"/>
          <w:szCs w:val="24"/>
        </w:rPr>
        <w:t>Furthermore, research on the use of Security Information and Event Management (SIEM) systems within the sector remains limited. Coppolino et al. (2022) propose a SIEM system for use within a smart hospital; however, this proposal lacks relevance for the UK healthcare sector. It does not demonstrate a real-world application within an NHS setup, nor does it show how IT professionals can link the system to financial outcomes for stakeholders. Consequently, the literature clearly reveals a gap between strategic guidance and practical implementation, with the economic impact of incident recovery on the healthcare sector being a topic that lacks academic study.</w:t>
      </w:r>
    </w:p>
    <w:p w14:paraId="0A8EF6D8" w14:textId="0800A8D6" w:rsidR="00B965F4" w:rsidRDefault="00BB7F26" w:rsidP="009058E7">
      <w:pPr>
        <w:pStyle w:val="Heading2"/>
        <w:numPr>
          <w:ilvl w:val="0"/>
          <w:numId w:val="4"/>
        </w:numPr>
        <w:spacing w:line="480" w:lineRule="auto"/>
        <w:rPr>
          <w:rFonts w:ascii="Arial" w:hAnsi="Arial" w:cs="Arial"/>
        </w:rPr>
      </w:pPr>
      <w:r w:rsidRPr="0093180E">
        <w:rPr>
          <w:rFonts w:ascii="Arial" w:hAnsi="Arial" w:cs="Arial"/>
        </w:rPr>
        <w:t xml:space="preserve">Financial </w:t>
      </w:r>
      <w:r w:rsidR="007E6F1B">
        <w:rPr>
          <w:rFonts w:ascii="Arial" w:hAnsi="Arial" w:cs="Arial"/>
        </w:rPr>
        <w:t>i</w:t>
      </w:r>
      <w:r w:rsidRPr="0093180E">
        <w:rPr>
          <w:rFonts w:ascii="Arial" w:hAnsi="Arial" w:cs="Arial"/>
        </w:rPr>
        <w:t xml:space="preserve">mpacts of </w:t>
      </w:r>
      <w:r w:rsidR="007E6F1B">
        <w:rPr>
          <w:rFonts w:ascii="Arial" w:hAnsi="Arial" w:cs="Arial"/>
        </w:rPr>
        <w:t>r</w:t>
      </w:r>
      <w:r w:rsidRPr="0093180E">
        <w:rPr>
          <w:rFonts w:ascii="Arial" w:hAnsi="Arial" w:cs="Arial"/>
        </w:rPr>
        <w:t>ansomware</w:t>
      </w:r>
    </w:p>
    <w:p w14:paraId="743DBC4D" w14:textId="62313499" w:rsidR="00F16B75" w:rsidRPr="00F16B75" w:rsidRDefault="00F16B75" w:rsidP="00F16B75">
      <w:pPr>
        <w:pStyle w:val="Subtitle"/>
        <w:spacing w:line="480" w:lineRule="auto"/>
      </w:pPr>
      <w:r>
        <w:t>Coverage within the literature</w:t>
      </w:r>
    </w:p>
    <w:p w14:paraId="37641C85" w14:textId="0995DC39" w:rsidR="00C24528" w:rsidRDefault="00F16B75" w:rsidP="00E75EF8">
      <w:pPr>
        <w:spacing w:line="480" w:lineRule="auto"/>
        <w:jc w:val="both"/>
        <w:rPr>
          <w:rFonts w:ascii="Arial" w:hAnsi="Arial" w:cs="Arial"/>
          <w:sz w:val="24"/>
          <w:szCs w:val="24"/>
        </w:rPr>
      </w:pPr>
      <w:r>
        <w:rPr>
          <w:rFonts w:ascii="Arial" w:hAnsi="Arial" w:cs="Arial"/>
          <w:sz w:val="24"/>
          <w:szCs w:val="24"/>
        </w:rPr>
        <w:t>The economic impact of a generic data breach within an industry is well-documented, as shown in IBM’s annual “Cost of a Data Breach Report” (2025). Adding further weight to the topic is the European Union Agency for Cybersecurity’s (ENISA) review of the economic effects on the healthcare sector (2023).</w:t>
      </w:r>
    </w:p>
    <w:p w14:paraId="0F5D2B47" w14:textId="5F7A16BC" w:rsidR="000B602D" w:rsidRDefault="00120BB8" w:rsidP="00E75EF8">
      <w:pPr>
        <w:spacing w:line="480" w:lineRule="auto"/>
        <w:jc w:val="both"/>
        <w:rPr>
          <w:rFonts w:ascii="Arial" w:hAnsi="Arial" w:cs="Arial"/>
          <w:sz w:val="24"/>
          <w:szCs w:val="24"/>
        </w:rPr>
      </w:pPr>
      <w:r>
        <w:rPr>
          <w:rFonts w:ascii="Arial" w:hAnsi="Arial" w:cs="Arial"/>
          <w:sz w:val="24"/>
          <w:szCs w:val="24"/>
        </w:rPr>
        <w:lastRenderedPageBreak/>
        <w:t xml:space="preserve">An AACODS appraisal of </w:t>
      </w:r>
      <w:r w:rsidR="00C24528">
        <w:rPr>
          <w:rFonts w:ascii="Arial" w:hAnsi="Arial" w:cs="Arial"/>
          <w:sz w:val="24"/>
          <w:szCs w:val="24"/>
        </w:rPr>
        <w:t>both reviews highlights</w:t>
      </w:r>
      <w:r>
        <w:rPr>
          <w:rFonts w:ascii="Arial" w:hAnsi="Arial" w:cs="Arial"/>
          <w:sz w:val="24"/>
          <w:szCs w:val="24"/>
        </w:rPr>
        <w:t xml:space="preserve"> limitations in coverage. </w:t>
      </w:r>
      <w:r w:rsidR="00C24528">
        <w:rPr>
          <w:rFonts w:ascii="Arial" w:hAnsi="Arial" w:cs="Arial"/>
          <w:sz w:val="24"/>
          <w:szCs w:val="24"/>
        </w:rPr>
        <w:t xml:space="preserve">The IBM report is </w:t>
      </w:r>
      <w:r w:rsidR="00763A03">
        <w:rPr>
          <w:rFonts w:ascii="Arial" w:hAnsi="Arial" w:cs="Arial"/>
          <w:sz w:val="24"/>
          <w:szCs w:val="24"/>
        </w:rPr>
        <w:t>industry-based</w:t>
      </w:r>
      <w:r w:rsidR="00C24528">
        <w:rPr>
          <w:rFonts w:ascii="Arial" w:hAnsi="Arial" w:cs="Arial"/>
          <w:sz w:val="24"/>
          <w:szCs w:val="24"/>
        </w:rPr>
        <w:t xml:space="preserve"> and lacks </w:t>
      </w:r>
      <w:r w:rsidR="00763A03">
        <w:rPr>
          <w:rFonts w:ascii="Arial" w:hAnsi="Arial" w:cs="Arial"/>
          <w:sz w:val="24"/>
          <w:szCs w:val="24"/>
        </w:rPr>
        <w:t>significance</w:t>
      </w:r>
      <w:r w:rsidR="00C24528">
        <w:rPr>
          <w:rFonts w:ascii="Arial" w:hAnsi="Arial" w:cs="Arial"/>
          <w:sz w:val="24"/>
          <w:szCs w:val="24"/>
        </w:rPr>
        <w:t xml:space="preserve"> to the UK healthcare sector. The ENISA review, </w:t>
      </w:r>
      <w:r w:rsidR="000B602D">
        <w:rPr>
          <w:rFonts w:ascii="Arial" w:hAnsi="Arial" w:cs="Arial"/>
          <w:sz w:val="24"/>
          <w:szCs w:val="24"/>
        </w:rPr>
        <w:t>although significant to the healthcare sector, lacks coverage of the UK due to its EU-centred approach</w:t>
      </w:r>
      <w:r w:rsidR="00763A03">
        <w:rPr>
          <w:rFonts w:ascii="Arial" w:hAnsi="Arial" w:cs="Arial"/>
          <w:sz w:val="24"/>
          <w:szCs w:val="24"/>
        </w:rPr>
        <w:t xml:space="preserve">. </w:t>
      </w:r>
      <w:r w:rsidR="000B602D">
        <w:rPr>
          <w:rFonts w:ascii="Arial" w:hAnsi="Arial" w:cs="Arial"/>
          <w:sz w:val="24"/>
          <w:szCs w:val="24"/>
        </w:rPr>
        <w:t>Th</w:t>
      </w:r>
      <w:r>
        <w:rPr>
          <w:rFonts w:ascii="Arial" w:hAnsi="Arial" w:cs="Arial"/>
          <w:sz w:val="24"/>
          <w:szCs w:val="24"/>
        </w:rPr>
        <w:t xml:space="preserve">is restricts its ability to evaluate the financial impact </w:t>
      </w:r>
      <w:r w:rsidR="00F16B75">
        <w:rPr>
          <w:rFonts w:ascii="Arial" w:hAnsi="Arial" w:cs="Arial"/>
          <w:sz w:val="24"/>
          <w:szCs w:val="24"/>
        </w:rPr>
        <w:t>specifically in the UK context.</w:t>
      </w:r>
    </w:p>
    <w:p w14:paraId="13422EC5" w14:textId="16FEA603" w:rsidR="00F16B75" w:rsidRDefault="00F16B75" w:rsidP="00F16B75">
      <w:pPr>
        <w:pStyle w:val="Subtitle"/>
        <w:spacing w:line="480" w:lineRule="auto"/>
      </w:pPr>
      <w:r>
        <w:t>Further costs</w:t>
      </w:r>
    </w:p>
    <w:p w14:paraId="77B994D2" w14:textId="7840D753" w:rsidR="00F16B75" w:rsidRDefault="00E310B3" w:rsidP="005A64BB">
      <w:pPr>
        <w:spacing w:line="480" w:lineRule="auto"/>
        <w:jc w:val="both"/>
        <w:rPr>
          <w:rFonts w:ascii="Arial" w:hAnsi="Arial" w:cs="Arial"/>
          <w:sz w:val="24"/>
          <w:szCs w:val="24"/>
        </w:rPr>
      </w:pPr>
      <w:r>
        <w:rPr>
          <w:rFonts w:ascii="Arial" w:hAnsi="Arial" w:cs="Arial"/>
          <w:sz w:val="24"/>
          <w:szCs w:val="24"/>
        </w:rPr>
        <w:t xml:space="preserve">Notably, these studies </w:t>
      </w:r>
      <w:r w:rsidR="00AA68B8">
        <w:rPr>
          <w:rFonts w:ascii="Arial" w:hAnsi="Arial" w:cs="Arial"/>
          <w:sz w:val="24"/>
          <w:szCs w:val="24"/>
        </w:rPr>
        <w:t>indicate that ransom payments account for only a small portion</w:t>
      </w:r>
      <w:r>
        <w:rPr>
          <w:rFonts w:ascii="Arial" w:hAnsi="Arial" w:cs="Arial"/>
          <w:sz w:val="24"/>
          <w:szCs w:val="24"/>
        </w:rPr>
        <w:t xml:space="preserve"> of the overall burden. This is supported by Cartwright et al. (2023), who discuss intangible costs such as reputational damage. This can result in fewer referrals and long-term revenue loss. Pattnaik et al. (2023) agree and offer a comprehensive framework for understanding the intangible harm caused by ransomware attacks. The Royal United Services Institute (RUSI) emphasises in its report that reputational damage is the most damaging yet hardest-to-quantify aspect of ransomware attacks (MacColl et al., 2024). </w:t>
      </w:r>
    </w:p>
    <w:p w14:paraId="0DCCA07C" w14:textId="7A6B912E" w:rsidR="00073B17" w:rsidRDefault="00F16B75" w:rsidP="005A64BB">
      <w:pPr>
        <w:spacing w:line="480" w:lineRule="auto"/>
        <w:jc w:val="both"/>
        <w:rPr>
          <w:rFonts w:ascii="Arial" w:hAnsi="Arial" w:cs="Arial"/>
          <w:sz w:val="24"/>
          <w:szCs w:val="24"/>
        </w:rPr>
      </w:pPr>
      <w:r>
        <w:rPr>
          <w:rFonts w:ascii="Arial" w:hAnsi="Arial" w:cs="Arial"/>
          <w:sz w:val="24"/>
          <w:szCs w:val="24"/>
        </w:rPr>
        <w:t>This difficulty in quantifying reputational damage can create a consistent gap in financial modelling within the literature. Being hard to quantify, this makes</w:t>
      </w:r>
      <w:r w:rsidR="00120BB8">
        <w:rPr>
          <w:rFonts w:ascii="Arial" w:hAnsi="Arial" w:cs="Arial"/>
          <w:sz w:val="24"/>
          <w:szCs w:val="24"/>
        </w:rPr>
        <w:t xml:space="preserve"> it </w:t>
      </w:r>
      <w:r>
        <w:rPr>
          <w:rFonts w:ascii="Arial" w:hAnsi="Arial" w:cs="Arial"/>
          <w:sz w:val="24"/>
          <w:szCs w:val="24"/>
        </w:rPr>
        <w:t>challenging</w:t>
      </w:r>
      <w:r w:rsidR="00120BB8">
        <w:rPr>
          <w:rFonts w:ascii="Arial" w:hAnsi="Arial" w:cs="Arial"/>
          <w:sz w:val="24"/>
          <w:szCs w:val="24"/>
        </w:rPr>
        <w:t xml:space="preserve"> to convert </w:t>
      </w:r>
      <w:r>
        <w:rPr>
          <w:rFonts w:ascii="Arial" w:hAnsi="Arial" w:cs="Arial"/>
          <w:sz w:val="24"/>
          <w:szCs w:val="24"/>
        </w:rPr>
        <w:t>intangible</w:t>
      </w:r>
      <w:r w:rsidR="00120BB8">
        <w:rPr>
          <w:rFonts w:ascii="Arial" w:hAnsi="Arial" w:cs="Arial"/>
          <w:sz w:val="24"/>
          <w:szCs w:val="24"/>
        </w:rPr>
        <w:t xml:space="preserve"> into financial terms using current risk frameworks</w:t>
      </w:r>
      <w:r w:rsidR="00AD62E1">
        <w:rPr>
          <w:rFonts w:ascii="Arial" w:hAnsi="Arial" w:cs="Arial"/>
          <w:sz w:val="24"/>
          <w:szCs w:val="24"/>
        </w:rPr>
        <w:t xml:space="preserve">. </w:t>
      </w:r>
      <w:r>
        <w:rPr>
          <w:rFonts w:ascii="Arial" w:hAnsi="Arial" w:cs="Arial"/>
          <w:sz w:val="24"/>
          <w:szCs w:val="24"/>
        </w:rPr>
        <w:t xml:space="preserve">This is supported by the FAIR Institute, which states that most organisations in the industry still do not employ proactive methods to measure cyber risk (Tucker, 2025). As a result, inconsistent cost-modelling is reinforced across the sector. </w:t>
      </w:r>
    </w:p>
    <w:p w14:paraId="61DC759D" w14:textId="3B98B539" w:rsidR="00F32F01" w:rsidRDefault="00464353" w:rsidP="0095104D">
      <w:pPr>
        <w:pStyle w:val="Heading2"/>
        <w:numPr>
          <w:ilvl w:val="0"/>
          <w:numId w:val="4"/>
        </w:numPr>
        <w:spacing w:line="480" w:lineRule="auto"/>
        <w:rPr>
          <w:rFonts w:ascii="Arial" w:hAnsi="Arial" w:cs="Arial"/>
        </w:rPr>
      </w:pPr>
      <w:r w:rsidRPr="0093180E">
        <w:rPr>
          <w:rFonts w:ascii="Arial" w:hAnsi="Arial" w:cs="Arial"/>
        </w:rPr>
        <w:t xml:space="preserve">Evaluation of the </w:t>
      </w:r>
      <w:r w:rsidR="007E6F1B">
        <w:rPr>
          <w:rFonts w:ascii="Arial" w:hAnsi="Arial" w:cs="Arial"/>
        </w:rPr>
        <w:t>l</w:t>
      </w:r>
      <w:r w:rsidRPr="0093180E">
        <w:rPr>
          <w:rFonts w:ascii="Arial" w:hAnsi="Arial" w:cs="Arial"/>
        </w:rPr>
        <w:t>iterature</w:t>
      </w:r>
    </w:p>
    <w:p w14:paraId="52299619" w14:textId="2C43A762" w:rsidR="009B4E4B" w:rsidRDefault="00F16B75" w:rsidP="009B4E4B">
      <w:pPr>
        <w:pStyle w:val="Subtitle"/>
        <w:spacing w:line="480" w:lineRule="auto"/>
      </w:pPr>
      <w:r>
        <w:t>Accuracy of the literature</w:t>
      </w:r>
    </w:p>
    <w:p w14:paraId="2070193F" w14:textId="65946927" w:rsidR="009B4E4B" w:rsidRDefault="007E6F1B" w:rsidP="009B4E4B">
      <w:pPr>
        <w:spacing w:line="480" w:lineRule="auto"/>
        <w:jc w:val="both"/>
        <w:rPr>
          <w:rFonts w:ascii="Arial" w:hAnsi="Arial" w:cs="Arial"/>
          <w:sz w:val="24"/>
          <w:szCs w:val="24"/>
        </w:rPr>
      </w:pPr>
      <w:r>
        <w:rPr>
          <w:rFonts w:ascii="Arial" w:hAnsi="Arial" w:cs="Arial"/>
          <w:sz w:val="24"/>
          <w:szCs w:val="24"/>
        </w:rPr>
        <w:lastRenderedPageBreak/>
        <w:t>Common themes in the literature align with real-world case studies. For example, the lack of patch management contributing to the WannaCry attack aligns with findings on sociotechnical vulnerabilities. Issues with stakeholder management and socio-complexity within the sector contributed to a similar ransomware attack on the pathology provider Synnovis, with Solloff (2025) stating the attack cost nearly £32.7 million. This is eight times their reported profit in 2023. This demonstrates the significant financial impact of ransomware on the sector, with the economic implications far exceeding operational profit. It emphasises the need for further research to validate the monetary burden.</w:t>
      </w:r>
    </w:p>
    <w:p w14:paraId="134BD791" w14:textId="21367452" w:rsidR="009B4E4B" w:rsidRDefault="007E6F1B" w:rsidP="009B4E4B">
      <w:pPr>
        <w:spacing w:line="480" w:lineRule="auto"/>
        <w:jc w:val="both"/>
        <w:rPr>
          <w:rFonts w:ascii="Arial" w:hAnsi="Arial" w:cs="Arial"/>
          <w:sz w:val="24"/>
          <w:szCs w:val="24"/>
        </w:rPr>
      </w:pPr>
      <w:r>
        <w:rPr>
          <w:rFonts w:ascii="Arial" w:hAnsi="Arial" w:cs="Arial"/>
          <w:sz w:val="24"/>
          <w:szCs w:val="24"/>
        </w:rPr>
        <w:t xml:space="preserve">An AACODS appraisal of the Solloff article highlights potential issues with accuracy due to the use of reported figures rather than peer-reviewed ones. This raises concerns about similar sources. In contrast, the ransomware attack on the Irish Health Service Executive and the WannaCry attack are more extensively studied, for example, in Mashinchi et al.’s (2025) paper 'When Healthcare Becomes Sick'. This underscores the inconsistent reporting and literature within the sector, making cost modelling efforts incomplete and methodologically weak. </w:t>
      </w:r>
    </w:p>
    <w:p w14:paraId="3B2A9E81" w14:textId="24CBA40D" w:rsidR="009B4E4B" w:rsidRPr="009B4E4B" w:rsidRDefault="009B4E4B" w:rsidP="009B4E4B">
      <w:pPr>
        <w:pStyle w:val="Subtitle"/>
        <w:spacing w:line="480" w:lineRule="auto"/>
      </w:pPr>
      <w:r>
        <w:t>Further AACODS Appraisals</w:t>
      </w:r>
    </w:p>
    <w:p w14:paraId="52CF1912" w14:textId="4E6ADECE" w:rsidR="00CB797A" w:rsidRDefault="00913B73" w:rsidP="00913B73">
      <w:pPr>
        <w:spacing w:line="480" w:lineRule="auto"/>
        <w:jc w:val="both"/>
        <w:rPr>
          <w:rFonts w:ascii="Arial" w:hAnsi="Arial" w:cs="Arial"/>
          <w:sz w:val="24"/>
          <w:szCs w:val="24"/>
        </w:rPr>
      </w:pPr>
      <w:r>
        <w:rPr>
          <w:rFonts w:ascii="Arial" w:hAnsi="Arial" w:cs="Arial"/>
          <w:sz w:val="24"/>
          <w:szCs w:val="24"/>
        </w:rPr>
        <w:t xml:space="preserve">A selection of sources has been compiled and placed in Table One, which will </w:t>
      </w:r>
      <w:r w:rsidR="00AA68B8">
        <w:rPr>
          <w:rFonts w:ascii="Arial" w:hAnsi="Arial" w:cs="Arial"/>
          <w:sz w:val="24"/>
          <w:szCs w:val="24"/>
        </w:rPr>
        <w:t>allow</w:t>
      </w:r>
      <w:r>
        <w:rPr>
          <w:rFonts w:ascii="Arial" w:hAnsi="Arial" w:cs="Arial"/>
          <w:sz w:val="24"/>
          <w:szCs w:val="24"/>
        </w:rPr>
        <w:t xml:space="preserve"> an accurate literature review on the assessment of the financial impact of ransomware and malware on the UK healthcare sector.</w:t>
      </w:r>
      <w:r w:rsidR="006022BF">
        <w:rPr>
          <w:rFonts w:ascii="Arial" w:hAnsi="Arial" w:cs="Arial"/>
          <w:sz w:val="24"/>
          <w:szCs w:val="24"/>
        </w:rPr>
        <w:t xml:space="preserve"> </w:t>
      </w:r>
      <w:r w:rsidR="00FE608C">
        <w:rPr>
          <w:rFonts w:ascii="Arial" w:hAnsi="Arial" w:cs="Arial"/>
          <w:sz w:val="24"/>
          <w:szCs w:val="24"/>
        </w:rPr>
        <w:t>They are scored on a scale of 1-5 (low to high) as per the AACODS criteria.</w:t>
      </w:r>
    </w:p>
    <w:p w14:paraId="5255923C" w14:textId="2AFCAACA" w:rsidR="00EB3257" w:rsidRDefault="00FE608C" w:rsidP="00913B73">
      <w:pPr>
        <w:spacing w:line="480" w:lineRule="auto"/>
        <w:jc w:val="both"/>
        <w:rPr>
          <w:rFonts w:ascii="Arial" w:hAnsi="Arial" w:cs="Arial"/>
          <w:sz w:val="24"/>
          <w:szCs w:val="24"/>
        </w:rPr>
      </w:pPr>
      <w:r>
        <w:rPr>
          <w:rFonts w:ascii="Arial" w:hAnsi="Arial" w:cs="Arial"/>
          <w:sz w:val="24"/>
          <w:szCs w:val="24"/>
        </w:rPr>
        <w:t>While Table One is subjective, it</w:t>
      </w:r>
      <w:r w:rsidR="006022BF">
        <w:rPr>
          <w:rFonts w:ascii="Arial" w:hAnsi="Arial" w:cs="Arial"/>
          <w:sz w:val="24"/>
          <w:szCs w:val="24"/>
        </w:rPr>
        <w:t xml:space="preserve"> illustrates that much of the existing literature lacks coverage of the UK healthcare sector, instead being primarily US or EU-centric. There is also an issue with the objectivity of multiple sources</w:t>
      </w:r>
      <w:r w:rsidR="00AA68B8">
        <w:rPr>
          <w:rFonts w:ascii="Arial" w:hAnsi="Arial" w:cs="Arial"/>
          <w:sz w:val="24"/>
          <w:szCs w:val="24"/>
        </w:rPr>
        <w:t>. V</w:t>
      </w:r>
      <w:r w:rsidR="00CB797A">
        <w:rPr>
          <w:rFonts w:ascii="Arial" w:hAnsi="Arial" w:cs="Arial"/>
          <w:sz w:val="24"/>
          <w:szCs w:val="24"/>
        </w:rPr>
        <w:t xml:space="preserve">arious sources may </w:t>
      </w:r>
      <w:r w:rsidR="00AA68B8">
        <w:rPr>
          <w:rFonts w:ascii="Arial" w:hAnsi="Arial" w:cs="Arial"/>
          <w:sz w:val="24"/>
          <w:szCs w:val="24"/>
        </w:rPr>
        <w:t xml:space="preserve">employ </w:t>
      </w:r>
      <w:r w:rsidR="00AA68B8">
        <w:rPr>
          <w:rFonts w:ascii="Arial" w:hAnsi="Arial" w:cs="Arial"/>
          <w:sz w:val="24"/>
          <w:szCs w:val="24"/>
        </w:rPr>
        <w:lastRenderedPageBreak/>
        <w:t>tactics to promote their own products, or the lack of peer review may limit knowledge about the accuracy and potential bias of the reports</w:t>
      </w:r>
      <w:r w:rsidR="00CB797A">
        <w:rPr>
          <w:rFonts w:ascii="Arial" w:hAnsi="Arial" w:cs="Arial"/>
          <w:sz w:val="24"/>
          <w:szCs w:val="24"/>
        </w:rPr>
        <w:t xml:space="preserve">. Although many of the sources are recent, with just a handful pre-pandemic, their significance to the financial impacts on the UK healthcare sector is </w:t>
      </w:r>
      <w:r w:rsidR="00EB3257">
        <w:rPr>
          <w:rFonts w:ascii="Arial" w:hAnsi="Arial" w:cs="Arial"/>
          <w:sz w:val="24"/>
          <w:szCs w:val="24"/>
        </w:rPr>
        <w:t>minor</w:t>
      </w:r>
      <w:r w:rsidR="00CB797A">
        <w:rPr>
          <w:rFonts w:ascii="Arial" w:hAnsi="Arial" w:cs="Arial"/>
          <w:sz w:val="24"/>
          <w:szCs w:val="24"/>
        </w:rPr>
        <w:t>.</w:t>
      </w:r>
    </w:p>
    <w:tbl>
      <w:tblPr>
        <w:tblStyle w:val="GridTable2"/>
        <w:tblW w:w="10915" w:type="dxa"/>
        <w:tblInd w:w="-941" w:type="dxa"/>
        <w:tblLook w:val="04A0" w:firstRow="1" w:lastRow="0" w:firstColumn="1" w:lastColumn="0" w:noHBand="0" w:noVBand="1"/>
      </w:tblPr>
      <w:tblGrid>
        <w:gridCol w:w="1560"/>
        <w:gridCol w:w="1417"/>
        <w:gridCol w:w="1418"/>
        <w:gridCol w:w="1417"/>
        <w:gridCol w:w="1843"/>
        <w:gridCol w:w="1559"/>
        <w:gridCol w:w="1701"/>
      </w:tblGrid>
      <w:tr w:rsidR="000B602D" w14:paraId="7FB26A91" w14:textId="77777777" w:rsidTr="00FE60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0750D2F" w14:textId="77777777" w:rsidR="000B602D" w:rsidRDefault="000B602D" w:rsidP="00FE608C">
            <w:pPr>
              <w:jc w:val="center"/>
              <w:rPr>
                <w:rFonts w:ascii="Arial" w:hAnsi="Arial" w:cs="Arial"/>
                <w:sz w:val="24"/>
                <w:szCs w:val="24"/>
              </w:rPr>
            </w:pPr>
            <w:r>
              <w:rPr>
                <w:rFonts w:ascii="Arial" w:hAnsi="Arial" w:cs="Arial"/>
                <w:sz w:val="24"/>
                <w:szCs w:val="24"/>
              </w:rPr>
              <w:t>Source</w:t>
            </w:r>
          </w:p>
        </w:tc>
        <w:tc>
          <w:tcPr>
            <w:tcW w:w="1417" w:type="dxa"/>
          </w:tcPr>
          <w:p w14:paraId="6587A8C7" w14:textId="77777777" w:rsidR="000B602D" w:rsidRDefault="000B602D" w:rsidP="00FE608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Authority</w:t>
            </w:r>
          </w:p>
        </w:tc>
        <w:tc>
          <w:tcPr>
            <w:tcW w:w="1418" w:type="dxa"/>
          </w:tcPr>
          <w:p w14:paraId="2062B8EE" w14:textId="77777777" w:rsidR="000B602D" w:rsidRDefault="000B602D" w:rsidP="00FE608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Accuracy</w:t>
            </w:r>
          </w:p>
        </w:tc>
        <w:tc>
          <w:tcPr>
            <w:tcW w:w="1417" w:type="dxa"/>
          </w:tcPr>
          <w:p w14:paraId="065D45C0" w14:textId="77777777" w:rsidR="000B602D" w:rsidRDefault="000B602D" w:rsidP="00FE608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Coverage</w:t>
            </w:r>
          </w:p>
        </w:tc>
        <w:tc>
          <w:tcPr>
            <w:tcW w:w="1843" w:type="dxa"/>
          </w:tcPr>
          <w:p w14:paraId="43498E92" w14:textId="77777777" w:rsidR="000B602D" w:rsidRDefault="000B602D" w:rsidP="00FE608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Objectivity</w:t>
            </w:r>
          </w:p>
        </w:tc>
        <w:tc>
          <w:tcPr>
            <w:tcW w:w="1559" w:type="dxa"/>
          </w:tcPr>
          <w:p w14:paraId="77EF5D3D" w14:textId="77777777" w:rsidR="000B602D" w:rsidRDefault="000B602D" w:rsidP="00FE608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Date</w:t>
            </w:r>
          </w:p>
        </w:tc>
        <w:tc>
          <w:tcPr>
            <w:tcW w:w="1701" w:type="dxa"/>
          </w:tcPr>
          <w:p w14:paraId="34D8E413" w14:textId="77777777" w:rsidR="000B602D" w:rsidRDefault="000B602D" w:rsidP="00FE608C">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Significance</w:t>
            </w:r>
          </w:p>
        </w:tc>
      </w:tr>
      <w:tr w:rsidR="000B602D" w14:paraId="35C6B18E" w14:textId="77777777" w:rsidTr="00FE6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AAF2952" w14:textId="77777777" w:rsidR="000B602D" w:rsidRPr="000B602D" w:rsidRDefault="000B602D" w:rsidP="00FE608C">
            <w:pPr>
              <w:jc w:val="center"/>
              <w:rPr>
                <w:rFonts w:ascii="Arial" w:hAnsi="Arial" w:cs="Arial"/>
                <w:b w:val="0"/>
                <w:bCs w:val="0"/>
                <w:sz w:val="24"/>
                <w:szCs w:val="24"/>
              </w:rPr>
            </w:pPr>
            <w:r w:rsidRPr="000B602D">
              <w:rPr>
                <w:rFonts w:ascii="Arial" w:hAnsi="Arial" w:cs="Arial"/>
                <w:b w:val="0"/>
                <w:bCs w:val="0"/>
                <w:sz w:val="24"/>
                <w:szCs w:val="24"/>
              </w:rPr>
              <w:t>DHSC (2018)</w:t>
            </w:r>
          </w:p>
        </w:tc>
        <w:tc>
          <w:tcPr>
            <w:tcW w:w="1417" w:type="dxa"/>
          </w:tcPr>
          <w:p w14:paraId="2CD11751" w14:textId="2105E6ED"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418" w:type="dxa"/>
          </w:tcPr>
          <w:p w14:paraId="6C7840E3" w14:textId="064EC96E"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417" w:type="dxa"/>
          </w:tcPr>
          <w:p w14:paraId="5C5E22B9" w14:textId="2B8E2112"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843" w:type="dxa"/>
          </w:tcPr>
          <w:p w14:paraId="22670088" w14:textId="7A7870D4"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559" w:type="dxa"/>
          </w:tcPr>
          <w:p w14:paraId="648C1568" w14:textId="5CBA984B"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701" w:type="dxa"/>
          </w:tcPr>
          <w:p w14:paraId="6D1E12DE" w14:textId="039B0A85"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r>
      <w:tr w:rsidR="000B602D" w14:paraId="1F22A7F2" w14:textId="77777777" w:rsidTr="00FE608C">
        <w:tc>
          <w:tcPr>
            <w:cnfStyle w:val="001000000000" w:firstRow="0" w:lastRow="0" w:firstColumn="1" w:lastColumn="0" w:oddVBand="0" w:evenVBand="0" w:oddHBand="0" w:evenHBand="0" w:firstRowFirstColumn="0" w:firstRowLastColumn="0" w:lastRowFirstColumn="0" w:lastRowLastColumn="0"/>
            <w:tcW w:w="1560" w:type="dxa"/>
          </w:tcPr>
          <w:p w14:paraId="22966570" w14:textId="77777777" w:rsidR="000B602D" w:rsidRPr="000B602D" w:rsidRDefault="000B602D" w:rsidP="00FE608C">
            <w:pPr>
              <w:jc w:val="center"/>
              <w:rPr>
                <w:rFonts w:ascii="Arial" w:hAnsi="Arial" w:cs="Arial"/>
                <w:b w:val="0"/>
                <w:bCs w:val="0"/>
                <w:sz w:val="24"/>
                <w:szCs w:val="24"/>
              </w:rPr>
            </w:pPr>
            <w:r w:rsidRPr="000B602D">
              <w:rPr>
                <w:rFonts w:ascii="Arial" w:hAnsi="Arial" w:cs="Arial"/>
                <w:b w:val="0"/>
                <w:bCs w:val="0"/>
                <w:sz w:val="24"/>
                <w:szCs w:val="24"/>
              </w:rPr>
              <w:t>ENISA (2022)</w:t>
            </w:r>
          </w:p>
        </w:tc>
        <w:tc>
          <w:tcPr>
            <w:tcW w:w="1417" w:type="dxa"/>
          </w:tcPr>
          <w:p w14:paraId="7EBE2CC9" w14:textId="249F41BC"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418" w:type="dxa"/>
          </w:tcPr>
          <w:p w14:paraId="60C91693" w14:textId="63FD3BB1"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417" w:type="dxa"/>
          </w:tcPr>
          <w:p w14:paraId="1D73F379" w14:textId="7F06920D"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843" w:type="dxa"/>
          </w:tcPr>
          <w:p w14:paraId="04503C48" w14:textId="7BC39F55"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559" w:type="dxa"/>
          </w:tcPr>
          <w:p w14:paraId="15254909" w14:textId="20606C35"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701" w:type="dxa"/>
          </w:tcPr>
          <w:p w14:paraId="526F9E8F" w14:textId="0D92E53C"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0B602D" w14:paraId="3A68933D" w14:textId="77777777" w:rsidTr="00FE60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F91BA25" w14:textId="77777777" w:rsidR="000B602D" w:rsidRPr="000B602D" w:rsidRDefault="000B602D" w:rsidP="00FE608C">
            <w:pPr>
              <w:jc w:val="center"/>
              <w:rPr>
                <w:rFonts w:ascii="Arial" w:hAnsi="Arial" w:cs="Arial"/>
                <w:b w:val="0"/>
                <w:bCs w:val="0"/>
                <w:sz w:val="24"/>
                <w:szCs w:val="24"/>
              </w:rPr>
            </w:pPr>
            <w:r w:rsidRPr="000B602D">
              <w:rPr>
                <w:rFonts w:ascii="Arial" w:hAnsi="Arial" w:cs="Arial"/>
                <w:b w:val="0"/>
                <w:bCs w:val="0"/>
                <w:sz w:val="24"/>
                <w:szCs w:val="24"/>
              </w:rPr>
              <w:t>Ghafur et al. (2019)</w:t>
            </w:r>
          </w:p>
        </w:tc>
        <w:tc>
          <w:tcPr>
            <w:tcW w:w="1417" w:type="dxa"/>
          </w:tcPr>
          <w:p w14:paraId="649EDF00" w14:textId="490C9490"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418" w:type="dxa"/>
          </w:tcPr>
          <w:p w14:paraId="3DDE00BB" w14:textId="3C380276"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417" w:type="dxa"/>
          </w:tcPr>
          <w:p w14:paraId="08CED7D5" w14:textId="1A9B65AE"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843" w:type="dxa"/>
          </w:tcPr>
          <w:p w14:paraId="023ACE50" w14:textId="64F2B178"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4</w:t>
            </w:r>
          </w:p>
        </w:tc>
        <w:tc>
          <w:tcPr>
            <w:tcW w:w="1559" w:type="dxa"/>
          </w:tcPr>
          <w:p w14:paraId="250994ED" w14:textId="34B2D21A"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701" w:type="dxa"/>
          </w:tcPr>
          <w:p w14:paraId="7BA314F9" w14:textId="4ADFBF23"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0B602D" w14:paraId="44BBA3EB" w14:textId="77777777" w:rsidTr="00FE608C">
        <w:tc>
          <w:tcPr>
            <w:cnfStyle w:val="001000000000" w:firstRow="0" w:lastRow="0" w:firstColumn="1" w:lastColumn="0" w:oddVBand="0" w:evenVBand="0" w:oddHBand="0" w:evenHBand="0" w:firstRowFirstColumn="0" w:firstRowLastColumn="0" w:lastRowFirstColumn="0" w:lastRowLastColumn="0"/>
            <w:tcW w:w="1560" w:type="dxa"/>
          </w:tcPr>
          <w:p w14:paraId="58E54B86" w14:textId="77777777" w:rsidR="000B602D" w:rsidRPr="000B602D" w:rsidRDefault="000B602D" w:rsidP="00FE608C">
            <w:pPr>
              <w:jc w:val="center"/>
              <w:rPr>
                <w:rFonts w:ascii="Arial" w:hAnsi="Arial" w:cs="Arial"/>
                <w:b w:val="0"/>
                <w:bCs w:val="0"/>
                <w:sz w:val="24"/>
                <w:szCs w:val="24"/>
              </w:rPr>
            </w:pPr>
            <w:r w:rsidRPr="000B602D">
              <w:rPr>
                <w:rFonts w:ascii="Arial" w:hAnsi="Arial" w:cs="Arial"/>
                <w:b w:val="0"/>
                <w:bCs w:val="0"/>
                <w:sz w:val="24"/>
                <w:szCs w:val="24"/>
              </w:rPr>
              <w:t>IBM (2025)</w:t>
            </w:r>
          </w:p>
        </w:tc>
        <w:tc>
          <w:tcPr>
            <w:tcW w:w="1417" w:type="dxa"/>
          </w:tcPr>
          <w:p w14:paraId="6F8F2EA4" w14:textId="6299A1C0"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418" w:type="dxa"/>
          </w:tcPr>
          <w:p w14:paraId="62FD370C" w14:textId="66022D2D"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417" w:type="dxa"/>
          </w:tcPr>
          <w:p w14:paraId="2735AFBC" w14:textId="6261188F"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843" w:type="dxa"/>
          </w:tcPr>
          <w:p w14:paraId="51A39A1C" w14:textId="0B30BF92"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559" w:type="dxa"/>
          </w:tcPr>
          <w:p w14:paraId="0C5C03B5" w14:textId="1F7A9A73"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701" w:type="dxa"/>
          </w:tcPr>
          <w:p w14:paraId="410700EF" w14:textId="077F2B20" w:rsidR="000B602D" w:rsidRDefault="00FE608C" w:rsidP="00FE608C">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3</w:t>
            </w:r>
          </w:p>
        </w:tc>
      </w:tr>
      <w:tr w:rsidR="000B602D" w14:paraId="22E80271" w14:textId="77777777" w:rsidTr="00FE608C">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1560" w:type="dxa"/>
          </w:tcPr>
          <w:p w14:paraId="6D8C5911" w14:textId="77777777" w:rsidR="000B602D" w:rsidRPr="000B602D" w:rsidRDefault="000B602D" w:rsidP="00FE608C">
            <w:pPr>
              <w:jc w:val="center"/>
              <w:rPr>
                <w:rFonts w:ascii="Arial" w:hAnsi="Arial" w:cs="Arial"/>
                <w:b w:val="0"/>
                <w:bCs w:val="0"/>
                <w:sz w:val="24"/>
                <w:szCs w:val="24"/>
              </w:rPr>
            </w:pPr>
            <w:r w:rsidRPr="000B602D">
              <w:rPr>
                <w:rFonts w:ascii="Arial" w:hAnsi="Arial" w:cs="Arial"/>
                <w:b w:val="0"/>
                <w:bCs w:val="0"/>
                <w:sz w:val="24"/>
                <w:szCs w:val="24"/>
              </w:rPr>
              <w:t>Mashinchi et al. (2025)</w:t>
            </w:r>
          </w:p>
        </w:tc>
        <w:tc>
          <w:tcPr>
            <w:tcW w:w="1417" w:type="dxa"/>
          </w:tcPr>
          <w:p w14:paraId="3C41D431" w14:textId="04B48C6B"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3</w:t>
            </w:r>
          </w:p>
        </w:tc>
        <w:tc>
          <w:tcPr>
            <w:tcW w:w="1418" w:type="dxa"/>
          </w:tcPr>
          <w:p w14:paraId="44762EBF" w14:textId="4551CB0C"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417" w:type="dxa"/>
          </w:tcPr>
          <w:p w14:paraId="04EC3227" w14:textId="36C657F9"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843" w:type="dxa"/>
          </w:tcPr>
          <w:p w14:paraId="744CB0B2" w14:textId="5F89F990"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c>
          <w:tcPr>
            <w:tcW w:w="1559" w:type="dxa"/>
          </w:tcPr>
          <w:p w14:paraId="3D239526" w14:textId="72B69B11"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5</w:t>
            </w:r>
          </w:p>
        </w:tc>
        <w:tc>
          <w:tcPr>
            <w:tcW w:w="1701" w:type="dxa"/>
          </w:tcPr>
          <w:p w14:paraId="191DAFA5" w14:textId="0834812E" w:rsidR="000B602D" w:rsidRDefault="00FE608C" w:rsidP="00FE608C">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24"/>
                <w:szCs w:val="24"/>
              </w:rPr>
            </w:pPr>
            <w:r>
              <w:rPr>
                <w:rFonts w:ascii="Arial" w:hAnsi="Arial" w:cs="Arial"/>
                <w:sz w:val="24"/>
                <w:szCs w:val="24"/>
              </w:rPr>
              <w:t>2</w:t>
            </w:r>
          </w:p>
        </w:tc>
      </w:tr>
    </w:tbl>
    <w:p w14:paraId="5C760293" w14:textId="600B03DB" w:rsidR="000B602D" w:rsidRPr="000B602D" w:rsidRDefault="000B602D" w:rsidP="003F7FE1">
      <w:pPr>
        <w:spacing w:line="480" w:lineRule="auto"/>
        <w:jc w:val="center"/>
        <w:rPr>
          <w:rFonts w:ascii="Arial" w:hAnsi="Arial" w:cs="Arial"/>
          <w:i/>
          <w:iCs/>
          <w:sz w:val="24"/>
          <w:szCs w:val="24"/>
        </w:rPr>
      </w:pPr>
      <w:r>
        <w:rPr>
          <w:rFonts w:ascii="Arial" w:hAnsi="Arial" w:cs="Arial"/>
          <w:i/>
          <w:iCs/>
          <w:sz w:val="24"/>
          <w:szCs w:val="24"/>
        </w:rPr>
        <w:t>Table One: A selection of sources appraised as per AACODS</w:t>
      </w:r>
    </w:p>
    <w:p w14:paraId="2699D55E" w14:textId="0A11FF6D" w:rsidR="00251F33" w:rsidRPr="0093180E" w:rsidRDefault="00251F33" w:rsidP="00251F33">
      <w:pPr>
        <w:pStyle w:val="Subtitle"/>
        <w:spacing w:line="480" w:lineRule="auto"/>
        <w:rPr>
          <w:rFonts w:ascii="Arial" w:hAnsi="Arial" w:cs="Arial"/>
        </w:rPr>
      </w:pPr>
      <w:r w:rsidRPr="0093180E">
        <w:rPr>
          <w:rFonts w:ascii="Arial" w:hAnsi="Arial" w:cs="Arial"/>
        </w:rPr>
        <w:t xml:space="preserve">Issues with the </w:t>
      </w:r>
      <w:r w:rsidR="00EB3257">
        <w:rPr>
          <w:rFonts w:ascii="Arial" w:hAnsi="Arial" w:cs="Arial"/>
        </w:rPr>
        <w:t>l</w:t>
      </w:r>
      <w:r w:rsidRPr="0093180E">
        <w:rPr>
          <w:rFonts w:ascii="Arial" w:hAnsi="Arial" w:cs="Arial"/>
        </w:rPr>
        <w:t>iterature</w:t>
      </w:r>
    </w:p>
    <w:p w14:paraId="7C4A0055" w14:textId="38E2159C" w:rsidR="00437C92" w:rsidRDefault="00155BAA" w:rsidP="008754B4">
      <w:pPr>
        <w:spacing w:line="480" w:lineRule="auto"/>
        <w:jc w:val="both"/>
        <w:rPr>
          <w:rFonts w:ascii="Arial" w:hAnsi="Arial" w:cs="Arial"/>
          <w:sz w:val="24"/>
          <w:szCs w:val="24"/>
        </w:rPr>
      </w:pPr>
      <w:r>
        <w:rPr>
          <w:rFonts w:ascii="Arial" w:hAnsi="Arial" w:cs="Arial"/>
          <w:sz w:val="24"/>
          <w:szCs w:val="24"/>
        </w:rPr>
        <w:t xml:space="preserve">Much of the literature comes from grey literature or media reports. Grey literature is not peer-reviewed, and media reports may exaggerate or worsen the issue. They can negatively influence public perception and lead to misleading cost estimates. Boutron et al. (2019) report that 88% of news stories in Google News are distorted and biased. This raises concerns about the financial estimates reported for high-profile attacks such as WannaCry and the one on Synnovis. Estimates might be inflated to attract readers or underestimated due to poor reporting. </w:t>
      </w:r>
    </w:p>
    <w:p w14:paraId="6564985C" w14:textId="508D814F" w:rsidR="008754B4" w:rsidRPr="0093180E" w:rsidRDefault="00EB3257" w:rsidP="008754B4">
      <w:pPr>
        <w:spacing w:line="480" w:lineRule="auto"/>
        <w:jc w:val="both"/>
        <w:rPr>
          <w:rFonts w:ascii="Arial" w:hAnsi="Arial" w:cs="Arial"/>
          <w:sz w:val="24"/>
          <w:szCs w:val="24"/>
        </w:rPr>
      </w:pPr>
      <w:r>
        <w:rPr>
          <w:rFonts w:ascii="Arial" w:hAnsi="Arial" w:cs="Arial"/>
          <w:sz w:val="24"/>
          <w:szCs w:val="24"/>
        </w:rPr>
        <w:t xml:space="preserve">While offering extra contextual background on an issue and reducing “publication bias” (Adams et al., 2016), grey literature is not subject to formal review. </w:t>
      </w:r>
      <w:r w:rsidR="00155BAA">
        <w:rPr>
          <w:rFonts w:ascii="Arial" w:hAnsi="Arial" w:cs="Arial"/>
          <w:sz w:val="24"/>
          <w:szCs w:val="24"/>
        </w:rPr>
        <w:t xml:space="preserve">This makes it difficult to evaluate the quality of the source material and determine its relevance (Farace, 2010). </w:t>
      </w:r>
      <w:r>
        <w:rPr>
          <w:rFonts w:ascii="Arial" w:hAnsi="Arial" w:cs="Arial"/>
          <w:sz w:val="24"/>
          <w:szCs w:val="24"/>
        </w:rPr>
        <w:t xml:space="preserve">The AACODS appraisals raise concerns </w:t>
      </w:r>
      <w:r w:rsidR="00155BAA">
        <w:rPr>
          <w:rFonts w:ascii="Arial" w:hAnsi="Arial" w:cs="Arial"/>
          <w:sz w:val="24"/>
          <w:szCs w:val="24"/>
        </w:rPr>
        <w:t>across all areas,</w:t>
      </w:r>
      <w:r>
        <w:rPr>
          <w:rFonts w:ascii="Arial" w:hAnsi="Arial" w:cs="Arial"/>
          <w:sz w:val="24"/>
          <w:szCs w:val="24"/>
        </w:rPr>
        <w:t xml:space="preserve"> thereby diminishing its importance in assessing the financial impact of ransomware and malware in the UK healthcare sector.</w:t>
      </w:r>
    </w:p>
    <w:p w14:paraId="1234587E" w14:textId="719CBF0F" w:rsidR="00A26B73" w:rsidRPr="0093180E" w:rsidRDefault="00A26B73" w:rsidP="0095104D">
      <w:pPr>
        <w:pStyle w:val="Heading2"/>
        <w:numPr>
          <w:ilvl w:val="0"/>
          <w:numId w:val="4"/>
        </w:numPr>
        <w:spacing w:line="480" w:lineRule="auto"/>
        <w:rPr>
          <w:rFonts w:ascii="Arial" w:hAnsi="Arial" w:cs="Arial"/>
        </w:rPr>
      </w:pPr>
      <w:r w:rsidRPr="0093180E">
        <w:rPr>
          <w:rFonts w:ascii="Arial" w:hAnsi="Arial" w:cs="Arial"/>
        </w:rPr>
        <w:lastRenderedPageBreak/>
        <w:t>Conclusion</w:t>
      </w:r>
    </w:p>
    <w:p w14:paraId="64006E29" w14:textId="43B119D5" w:rsidR="00A26B73" w:rsidRPr="0093180E" w:rsidRDefault="00C61031" w:rsidP="005A64BB">
      <w:pPr>
        <w:spacing w:line="480" w:lineRule="auto"/>
        <w:jc w:val="both"/>
        <w:rPr>
          <w:rFonts w:ascii="Arial" w:hAnsi="Arial" w:cs="Arial"/>
          <w:sz w:val="24"/>
          <w:szCs w:val="24"/>
        </w:rPr>
      </w:pPr>
      <w:r>
        <w:rPr>
          <w:rFonts w:ascii="Arial" w:hAnsi="Arial" w:cs="Arial"/>
          <w:sz w:val="24"/>
          <w:szCs w:val="24"/>
        </w:rPr>
        <w:t xml:space="preserve">Despite </w:t>
      </w:r>
      <w:r w:rsidR="00625AEE">
        <w:rPr>
          <w:rFonts w:ascii="Arial" w:hAnsi="Arial" w:cs="Arial"/>
          <w:sz w:val="24"/>
          <w:szCs w:val="24"/>
        </w:rPr>
        <w:t>extensive research on malware and its proliferation, significant gaps remain</w:t>
      </w:r>
      <w:r>
        <w:rPr>
          <w:rFonts w:ascii="Arial" w:hAnsi="Arial" w:cs="Arial"/>
          <w:sz w:val="24"/>
          <w:szCs w:val="24"/>
        </w:rPr>
        <w:t xml:space="preserve"> regarding the financial impact of malware and ransomware on the UK healthcare sector.</w:t>
      </w:r>
      <w:r w:rsidR="00C83B9C">
        <w:rPr>
          <w:rFonts w:ascii="Arial" w:hAnsi="Arial" w:cs="Arial"/>
          <w:sz w:val="24"/>
          <w:szCs w:val="24"/>
        </w:rPr>
        <w:t xml:space="preserve"> </w:t>
      </w:r>
      <w:r w:rsidR="00A54C4B">
        <w:rPr>
          <w:rFonts w:ascii="Arial" w:hAnsi="Arial" w:cs="Arial"/>
          <w:sz w:val="24"/>
          <w:szCs w:val="24"/>
        </w:rPr>
        <w:t>The current understanding is fragmented, underdeveloped,</w:t>
      </w:r>
      <w:r w:rsidR="00D95C1F">
        <w:rPr>
          <w:rFonts w:ascii="Arial" w:hAnsi="Arial" w:cs="Arial"/>
          <w:sz w:val="24"/>
          <w:szCs w:val="24"/>
        </w:rPr>
        <w:t xml:space="preserve"> and poorly tailored to this context</w:t>
      </w:r>
      <w:r w:rsidR="00C83B9C">
        <w:rPr>
          <w:rFonts w:ascii="Arial" w:hAnsi="Arial" w:cs="Arial"/>
          <w:sz w:val="24"/>
          <w:szCs w:val="24"/>
        </w:rPr>
        <w:t>.</w:t>
      </w:r>
      <w:r>
        <w:rPr>
          <w:rFonts w:ascii="Arial" w:hAnsi="Arial" w:cs="Arial"/>
          <w:sz w:val="24"/>
          <w:szCs w:val="24"/>
        </w:rPr>
        <w:t xml:space="preserve"> Most academic studies appear US or European-centric, and few studies employ structured frameworks in their evaluations. </w:t>
      </w:r>
      <w:r w:rsidR="000D1310">
        <w:rPr>
          <w:rFonts w:ascii="Arial" w:hAnsi="Arial" w:cs="Arial"/>
          <w:sz w:val="24"/>
          <w:szCs w:val="24"/>
        </w:rPr>
        <w:t>This results in inconsistent and unreliable cost modelling, making it difficult to accurately assess the financial impact</w:t>
      </w:r>
      <w:r>
        <w:rPr>
          <w:rFonts w:ascii="Arial" w:hAnsi="Arial" w:cs="Arial"/>
          <w:sz w:val="24"/>
          <w:szCs w:val="24"/>
        </w:rPr>
        <w:t xml:space="preserve"> of ransomware and malware on the UK healthcare system.</w:t>
      </w:r>
    </w:p>
    <w:p w14:paraId="2FE713FC" w14:textId="4022B7D2" w:rsidR="00A26B73" w:rsidRDefault="007D4951" w:rsidP="005A64BB">
      <w:pPr>
        <w:spacing w:line="480" w:lineRule="auto"/>
        <w:jc w:val="both"/>
        <w:rPr>
          <w:rFonts w:ascii="Arial" w:hAnsi="Arial" w:cs="Arial"/>
          <w:sz w:val="24"/>
          <w:szCs w:val="24"/>
        </w:rPr>
      </w:pPr>
      <w:r>
        <w:rPr>
          <w:rFonts w:ascii="Arial" w:hAnsi="Arial" w:cs="Arial"/>
          <w:sz w:val="24"/>
          <w:szCs w:val="24"/>
        </w:rPr>
        <w:t>Furthermore, the main literature on ransomware incidents predominantly comes from grey sources or news reports. The credibility of some of these sources can be questioned because they lack a peer review process. Questionable media framing and limited political accountability mean that the issue remains inadequately understood. Consequently, there is a significant gap and an urgent need for peer-reviewed research on the financial impact of ransomware on the UK healthcare sector.</w:t>
      </w:r>
    </w:p>
    <w:p w14:paraId="58B1C14C" w14:textId="294E6BD3" w:rsidR="00C61031" w:rsidRPr="0093180E" w:rsidRDefault="007D4951" w:rsidP="005A64BB">
      <w:pPr>
        <w:spacing w:line="480" w:lineRule="auto"/>
        <w:jc w:val="both"/>
        <w:rPr>
          <w:rFonts w:ascii="Arial" w:hAnsi="Arial" w:cs="Arial"/>
          <w:sz w:val="24"/>
          <w:szCs w:val="24"/>
        </w:rPr>
      </w:pPr>
      <w:r>
        <w:rPr>
          <w:rFonts w:ascii="Arial" w:hAnsi="Arial" w:cs="Arial"/>
          <w:sz w:val="24"/>
          <w:szCs w:val="24"/>
        </w:rPr>
        <w:t xml:space="preserve">Future academic research </w:t>
      </w:r>
      <w:r w:rsidR="000A25CF">
        <w:rPr>
          <w:rFonts w:ascii="Arial" w:hAnsi="Arial" w:cs="Arial"/>
          <w:sz w:val="24"/>
          <w:szCs w:val="24"/>
        </w:rPr>
        <w:t>should focus on intangible costs,</w:t>
      </w:r>
      <w:r>
        <w:rPr>
          <w:rFonts w:ascii="Arial" w:hAnsi="Arial" w:cs="Arial"/>
          <w:sz w:val="24"/>
          <w:szCs w:val="24"/>
        </w:rPr>
        <w:t xml:space="preserve"> such as reputational harm and a lack of trust within the sector. Cyber risk assessments should incorporate a method to quantify these risks, enabling the measurement of their financial impact. It is an ethical responsibility to do so, as there is a necessity to raise these issues from technical risks to genuine threats to patient safety.</w:t>
      </w:r>
    </w:p>
    <w:bookmarkEnd w:id="0"/>
    <w:p w14:paraId="45A0CA43" w14:textId="51F14648" w:rsidR="003E5BEE" w:rsidRDefault="00A05FC7" w:rsidP="00AB488A">
      <w:pPr>
        <w:pStyle w:val="Heading2"/>
        <w:numPr>
          <w:ilvl w:val="0"/>
          <w:numId w:val="4"/>
        </w:numPr>
        <w:spacing w:line="480" w:lineRule="auto"/>
        <w:rPr>
          <w:rFonts w:ascii="Arial" w:hAnsi="Arial" w:cs="Arial"/>
        </w:rPr>
      </w:pPr>
      <w:r w:rsidRPr="0093180E">
        <w:rPr>
          <w:rFonts w:ascii="Arial" w:hAnsi="Arial" w:cs="Arial"/>
        </w:rPr>
        <w:t>References</w:t>
      </w:r>
    </w:p>
    <w:p w14:paraId="49616DEC" w14:textId="77777777" w:rsidR="00BE1E43" w:rsidRDefault="00BE1E43" w:rsidP="00384F02">
      <w:pPr>
        <w:spacing w:line="480" w:lineRule="auto"/>
        <w:rPr>
          <w:rFonts w:ascii="Arial" w:hAnsi="Arial" w:cs="Arial"/>
          <w:sz w:val="24"/>
          <w:szCs w:val="24"/>
        </w:rPr>
      </w:pPr>
      <w:r>
        <w:rPr>
          <w:rFonts w:ascii="Arial" w:hAnsi="Arial" w:cs="Arial"/>
          <w:sz w:val="24"/>
          <w:szCs w:val="24"/>
        </w:rPr>
        <w:t>Abed, S and Griffiths, G.</w:t>
      </w:r>
      <w:r w:rsidRPr="00C26BB4">
        <w:rPr>
          <w:rFonts w:ascii="Arial" w:hAnsi="Arial" w:cs="Arial"/>
          <w:sz w:val="24"/>
          <w:szCs w:val="24"/>
        </w:rPr>
        <w:t xml:space="preserve"> (2019) </w:t>
      </w:r>
      <w:r w:rsidRPr="00C26BB4">
        <w:rPr>
          <w:rFonts w:ascii="Arial" w:hAnsi="Arial" w:cs="Arial"/>
          <w:i/>
          <w:iCs/>
          <w:sz w:val="24"/>
          <w:szCs w:val="24"/>
        </w:rPr>
        <w:t>Legacy applications: a healthcare cybersecurity nightmare</w:t>
      </w:r>
      <w:r w:rsidRPr="00C26BB4">
        <w:rPr>
          <w:rFonts w:ascii="Arial" w:hAnsi="Arial" w:cs="Arial"/>
          <w:sz w:val="24"/>
          <w:szCs w:val="24"/>
        </w:rPr>
        <w:t>. Available at: https://www.bridgeheadsoftware.com/wp-</w:t>
      </w:r>
      <w:r w:rsidRPr="00C26BB4">
        <w:rPr>
          <w:rFonts w:ascii="Arial" w:hAnsi="Arial" w:cs="Arial"/>
          <w:sz w:val="24"/>
          <w:szCs w:val="24"/>
        </w:rPr>
        <w:lastRenderedPageBreak/>
        <w:t>content/uploads/2019/02/Legacy_Applications_Cybersecurity_Nightmare_BridgeHead_Whitepaper.pdf (Accessed: 27 August 2025).</w:t>
      </w:r>
    </w:p>
    <w:p w14:paraId="39C2D7C4" w14:textId="4B6ADA4F" w:rsidR="00BE1E43" w:rsidRPr="00C26BB4" w:rsidRDefault="00BE1E43" w:rsidP="00384F02">
      <w:pPr>
        <w:spacing w:line="480" w:lineRule="auto"/>
        <w:rPr>
          <w:rFonts w:ascii="Arial" w:hAnsi="Arial" w:cs="Arial"/>
          <w:sz w:val="24"/>
          <w:szCs w:val="24"/>
        </w:rPr>
      </w:pPr>
      <w:r w:rsidRPr="0085294C">
        <w:rPr>
          <w:rFonts w:ascii="Arial" w:hAnsi="Arial" w:cs="Arial"/>
          <w:sz w:val="24"/>
          <w:szCs w:val="24"/>
        </w:rPr>
        <w:t>Adams, J. </w:t>
      </w:r>
      <w:r w:rsidRPr="0085294C">
        <w:rPr>
          <w:rFonts w:ascii="Arial" w:hAnsi="Arial" w:cs="Arial"/>
          <w:i/>
          <w:iCs/>
          <w:sz w:val="24"/>
          <w:szCs w:val="24"/>
        </w:rPr>
        <w:t>et al.</w:t>
      </w:r>
      <w:r w:rsidRPr="0085294C">
        <w:rPr>
          <w:rFonts w:ascii="Arial" w:hAnsi="Arial" w:cs="Arial"/>
          <w:sz w:val="24"/>
          <w:szCs w:val="24"/>
        </w:rPr>
        <w:t> (2016) ‘Searching and Synthesising “grey Literature” and “grey Information” in Public health: Critical Reflections on Three Case Studies’, </w:t>
      </w:r>
      <w:r w:rsidRPr="0085294C">
        <w:rPr>
          <w:rFonts w:ascii="Arial" w:hAnsi="Arial" w:cs="Arial"/>
          <w:i/>
          <w:iCs/>
          <w:sz w:val="24"/>
          <w:szCs w:val="24"/>
        </w:rPr>
        <w:t>Systematic Reviews</w:t>
      </w:r>
      <w:r w:rsidRPr="0085294C">
        <w:rPr>
          <w:rFonts w:ascii="Arial" w:hAnsi="Arial" w:cs="Arial"/>
          <w:sz w:val="24"/>
          <w:szCs w:val="24"/>
        </w:rPr>
        <w:t xml:space="preserve">, 5(1), pp. 1–11. </w:t>
      </w:r>
      <w:r w:rsidR="00384F02">
        <w:rPr>
          <w:rFonts w:ascii="Arial" w:hAnsi="Arial" w:cs="Arial"/>
          <w:sz w:val="24"/>
          <w:szCs w:val="24"/>
        </w:rPr>
        <w:t>DOI</w:t>
      </w:r>
      <w:r w:rsidRPr="0085294C">
        <w:rPr>
          <w:rFonts w:ascii="Arial" w:hAnsi="Arial" w:cs="Arial"/>
          <w:sz w:val="24"/>
          <w:szCs w:val="24"/>
        </w:rPr>
        <w:t>: https://doi.org/10.1186/s13643-016-0337-y.</w:t>
      </w:r>
    </w:p>
    <w:p w14:paraId="33B539F1" w14:textId="7C951161" w:rsidR="00BE1E43" w:rsidRDefault="00BE1E43" w:rsidP="00384F02">
      <w:pPr>
        <w:spacing w:line="480" w:lineRule="auto"/>
        <w:rPr>
          <w:rFonts w:ascii="Arial" w:hAnsi="Arial" w:cs="Arial"/>
          <w:sz w:val="24"/>
          <w:szCs w:val="24"/>
        </w:rPr>
      </w:pPr>
      <w:r w:rsidRPr="003930D3">
        <w:rPr>
          <w:rFonts w:ascii="Arial" w:hAnsi="Arial" w:cs="Arial"/>
          <w:sz w:val="24"/>
          <w:szCs w:val="24"/>
        </w:rPr>
        <w:t>Arnell, P. and Faturoti, B. (2022) ‘The prosecution of cybercrime – why transnational and extraterritorial jurisdiction should be resisted’, </w:t>
      </w:r>
      <w:r w:rsidRPr="003930D3">
        <w:rPr>
          <w:rFonts w:ascii="Arial" w:hAnsi="Arial" w:cs="Arial"/>
          <w:i/>
          <w:iCs/>
          <w:sz w:val="24"/>
          <w:szCs w:val="24"/>
        </w:rPr>
        <w:t>International Review of Law, Computers &amp; Technology</w:t>
      </w:r>
      <w:r w:rsidRPr="003930D3">
        <w:rPr>
          <w:rFonts w:ascii="Arial" w:hAnsi="Arial" w:cs="Arial"/>
          <w:sz w:val="24"/>
          <w:szCs w:val="24"/>
        </w:rPr>
        <w:t xml:space="preserve">, 37(1), pp. 1–23. </w:t>
      </w:r>
      <w:r w:rsidR="00384F02">
        <w:rPr>
          <w:rFonts w:ascii="Arial" w:hAnsi="Arial" w:cs="Arial"/>
          <w:sz w:val="24"/>
          <w:szCs w:val="24"/>
        </w:rPr>
        <w:t>DOI</w:t>
      </w:r>
      <w:r w:rsidRPr="003930D3">
        <w:rPr>
          <w:rFonts w:ascii="Arial" w:hAnsi="Arial" w:cs="Arial"/>
          <w:sz w:val="24"/>
          <w:szCs w:val="24"/>
        </w:rPr>
        <w:t xml:space="preserve">: </w:t>
      </w:r>
      <w:hyperlink r:id="rId8" w:history="1">
        <w:r w:rsidRPr="002939D4">
          <w:rPr>
            <w:rStyle w:val="Hyperlink"/>
            <w:rFonts w:ascii="Arial" w:hAnsi="Arial" w:cs="Arial"/>
            <w:sz w:val="24"/>
            <w:szCs w:val="24"/>
          </w:rPr>
          <w:t>https://doi.org/10.1080/13600869.2022.2061888</w:t>
        </w:r>
      </w:hyperlink>
      <w:r w:rsidRPr="003930D3">
        <w:rPr>
          <w:rFonts w:ascii="Arial" w:hAnsi="Arial" w:cs="Arial"/>
          <w:sz w:val="24"/>
          <w:szCs w:val="24"/>
        </w:rPr>
        <w:t>.</w:t>
      </w:r>
    </w:p>
    <w:p w14:paraId="4A7C9623" w14:textId="2B38B812" w:rsidR="00BE1E43" w:rsidRDefault="00BE1E43" w:rsidP="00384F02">
      <w:pPr>
        <w:spacing w:line="480" w:lineRule="auto"/>
        <w:rPr>
          <w:rFonts w:ascii="Arial" w:hAnsi="Arial" w:cs="Arial"/>
          <w:sz w:val="24"/>
          <w:szCs w:val="24"/>
        </w:rPr>
      </w:pPr>
      <w:r w:rsidRPr="0085294C">
        <w:rPr>
          <w:rFonts w:ascii="Arial" w:hAnsi="Arial" w:cs="Arial"/>
          <w:sz w:val="24"/>
          <w:szCs w:val="24"/>
        </w:rPr>
        <w:t>Boutron, I. </w:t>
      </w:r>
      <w:r w:rsidRPr="0085294C">
        <w:rPr>
          <w:rFonts w:ascii="Arial" w:hAnsi="Arial" w:cs="Arial"/>
          <w:i/>
          <w:iCs/>
          <w:sz w:val="24"/>
          <w:szCs w:val="24"/>
        </w:rPr>
        <w:t>et al.</w:t>
      </w:r>
      <w:r w:rsidRPr="0085294C">
        <w:rPr>
          <w:rFonts w:ascii="Arial" w:hAnsi="Arial" w:cs="Arial"/>
          <w:sz w:val="24"/>
          <w:szCs w:val="24"/>
        </w:rPr>
        <w:t> (2019) ‘Three randomized controlled trials evaluating the impact of “spin” in health news stories reporting studies of pharmacologic treatments on patients’/caregivers’ interpretation of treatment benefit’, </w:t>
      </w:r>
      <w:r w:rsidRPr="0085294C">
        <w:rPr>
          <w:rFonts w:ascii="Arial" w:hAnsi="Arial" w:cs="Arial"/>
          <w:i/>
          <w:iCs/>
          <w:sz w:val="24"/>
          <w:szCs w:val="24"/>
        </w:rPr>
        <w:t>BMC Medicine</w:t>
      </w:r>
      <w:r w:rsidRPr="0085294C">
        <w:rPr>
          <w:rFonts w:ascii="Arial" w:hAnsi="Arial" w:cs="Arial"/>
          <w:sz w:val="24"/>
          <w:szCs w:val="24"/>
        </w:rPr>
        <w:t xml:space="preserve">, 17(1). </w:t>
      </w:r>
      <w:r w:rsidR="00384F02">
        <w:rPr>
          <w:rFonts w:ascii="Arial" w:hAnsi="Arial" w:cs="Arial"/>
          <w:sz w:val="24"/>
          <w:szCs w:val="24"/>
        </w:rPr>
        <w:t>DOI</w:t>
      </w:r>
      <w:r w:rsidRPr="0085294C">
        <w:rPr>
          <w:rFonts w:ascii="Arial" w:hAnsi="Arial" w:cs="Arial"/>
          <w:sz w:val="24"/>
          <w:szCs w:val="24"/>
        </w:rPr>
        <w:t>: https://doi.org/10.1186/s12916-019-1330-9.</w:t>
      </w:r>
    </w:p>
    <w:p w14:paraId="7FE8E1DC" w14:textId="3303E842" w:rsidR="00BE1E43" w:rsidRDefault="00BE1E43" w:rsidP="00384F02">
      <w:pPr>
        <w:spacing w:line="480" w:lineRule="auto"/>
        <w:rPr>
          <w:rFonts w:ascii="Arial" w:hAnsi="Arial" w:cs="Arial"/>
          <w:sz w:val="24"/>
          <w:szCs w:val="24"/>
        </w:rPr>
      </w:pPr>
      <w:r w:rsidRPr="0092448B">
        <w:rPr>
          <w:rFonts w:ascii="Arial" w:hAnsi="Arial" w:cs="Arial"/>
          <w:sz w:val="24"/>
          <w:szCs w:val="24"/>
        </w:rPr>
        <w:t>Cartwright, A. </w:t>
      </w:r>
      <w:r w:rsidRPr="0092448B">
        <w:rPr>
          <w:rFonts w:ascii="Arial" w:hAnsi="Arial" w:cs="Arial"/>
          <w:i/>
          <w:iCs/>
          <w:sz w:val="24"/>
          <w:szCs w:val="24"/>
        </w:rPr>
        <w:t>et al.</w:t>
      </w:r>
      <w:r w:rsidRPr="0092448B">
        <w:rPr>
          <w:rFonts w:ascii="Arial" w:hAnsi="Arial" w:cs="Arial"/>
          <w:sz w:val="24"/>
          <w:szCs w:val="24"/>
        </w:rPr>
        <w:t> (2023) ‘How cyber insurance influences the ransomware payment decision: theory and evidence’, </w:t>
      </w:r>
      <w:r w:rsidRPr="0092448B">
        <w:rPr>
          <w:rFonts w:ascii="Arial" w:hAnsi="Arial" w:cs="Arial"/>
          <w:i/>
          <w:iCs/>
          <w:sz w:val="24"/>
          <w:szCs w:val="24"/>
        </w:rPr>
        <w:t>The Geneva Papers on Risk and Insurance - Issues and Practice</w:t>
      </w:r>
      <w:r w:rsidRPr="0092448B">
        <w:rPr>
          <w:rFonts w:ascii="Arial" w:hAnsi="Arial" w:cs="Arial"/>
          <w:sz w:val="24"/>
          <w:szCs w:val="24"/>
        </w:rPr>
        <w:t xml:space="preserve">. </w:t>
      </w:r>
      <w:r w:rsidR="00384F02">
        <w:rPr>
          <w:rFonts w:ascii="Arial" w:hAnsi="Arial" w:cs="Arial"/>
          <w:sz w:val="24"/>
          <w:szCs w:val="24"/>
        </w:rPr>
        <w:t>DOI</w:t>
      </w:r>
      <w:r w:rsidRPr="0092448B">
        <w:rPr>
          <w:rFonts w:ascii="Arial" w:hAnsi="Arial" w:cs="Arial"/>
          <w:sz w:val="24"/>
          <w:szCs w:val="24"/>
        </w:rPr>
        <w:t xml:space="preserve">: </w:t>
      </w:r>
      <w:hyperlink r:id="rId9" w:history="1">
        <w:r w:rsidR="001A0BF0" w:rsidRPr="00904686">
          <w:rPr>
            <w:rStyle w:val="Hyperlink"/>
            <w:rFonts w:ascii="Arial" w:hAnsi="Arial" w:cs="Arial"/>
            <w:sz w:val="24"/>
            <w:szCs w:val="24"/>
          </w:rPr>
          <w:t>https://doi.org/10.1057/s41288-023-00288-8</w:t>
        </w:r>
      </w:hyperlink>
      <w:r w:rsidRPr="0092448B">
        <w:rPr>
          <w:rFonts w:ascii="Arial" w:hAnsi="Arial" w:cs="Arial"/>
          <w:sz w:val="24"/>
          <w:szCs w:val="24"/>
        </w:rPr>
        <w:t>.</w:t>
      </w:r>
    </w:p>
    <w:p w14:paraId="436EF887" w14:textId="3B376B9C" w:rsidR="001A0BF0" w:rsidRDefault="001A0BF0" w:rsidP="00384F02">
      <w:pPr>
        <w:spacing w:line="480" w:lineRule="auto"/>
        <w:rPr>
          <w:rFonts w:ascii="Arial" w:hAnsi="Arial" w:cs="Arial"/>
          <w:sz w:val="24"/>
          <w:szCs w:val="24"/>
        </w:rPr>
      </w:pPr>
      <w:r w:rsidRPr="001A0BF0">
        <w:rPr>
          <w:rFonts w:ascii="Arial" w:hAnsi="Arial" w:cs="Arial"/>
          <w:sz w:val="24"/>
          <w:szCs w:val="24"/>
        </w:rPr>
        <w:t>Coppolino, L., Sgaglione, L., D’Antonio, S. </w:t>
      </w:r>
      <w:r w:rsidRPr="001A0BF0">
        <w:rPr>
          <w:rFonts w:ascii="Arial" w:hAnsi="Arial" w:cs="Arial"/>
          <w:i/>
          <w:iCs/>
          <w:sz w:val="24"/>
          <w:szCs w:val="24"/>
        </w:rPr>
        <w:t>et al.</w:t>
      </w:r>
      <w:r w:rsidRPr="001A0BF0">
        <w:rPr>
          <w:rFonts w:ascii="Arial" w:hAnsi="Arial" w:cs="Arial"/>
          <w:sz w:val="24"/>
          <w:szCs w:val="24"/>
        </w:rPr>
        <w:t> Risk Assessment Driven Use of Advanced SIEM Technology for Cyber Protection of Critical e-Health Processes. </w:t>
      </w:r>
      <w:r w:rsidRPr="001A0BF0">
        <w:rPr>
          <w:rFonts w:ascii="Arial" w:hAnsi="Arial" w:cs="Arial"/>
          <w:i/>
          <w:iCs/>
          <w:sz w:val="24"/>
          <w:szCs w:val="24"/>
        </w:rPr>
        <w:t>SN COMPUT. SCI.</w:t>
      </w:r>
      <w:r w:rsidRPr="001A0BF0">
        <w:rPr>
          <w:rFonts w:ascii="Arial" w:hAnsi="Arial" w:cs="Arial"/>
          <w:sz w:val="24"/>
          <w:szCs w:val="24"/>
        </w:rPr>
        <w:t> </w:t>
      </w:r>
      <w:r w:rsidRPr="001A0BF0">
        <w:rPr>
          <w:rFonts w:ascii="Arial" w:hAnsi="Arial" w:cs="Arial"/>
          <w:b/>
          <w:bCs/>
          <w:sz w:val="24"/>
          <w:szCs w:val="24"/>
        </w:rPr>
        <w:t>3</w:t>
      </w:r>
      <w:r w:rsidRPr="001A0BF0">
        <w:rPr>
          <w:rFonts w:ascii="Arial" w:hAnsi="Arial" w:cs="Arial"/>
          <w:sz w:val="24"/>
          <w:szCs w:val="24"/>
        </w:rPr>
        <w:t xml:space="preserve">, 16 (2022). </w:t>
      </w:r>
      <w:hyperlink r:id="rId10" w:history="1">
        <w:r w:rsidR="007D4951" w:rsidRPr="00021AA8">
          <w:rPr>
            <w:rStyle w:val="Hyperlink"/>
            <w:rFonts w:ascii="Arial" w:hAnsi="Arial" w:cs="Arial"/>
            <w:sz w:val="24"/>
            <w:szCs w:val="24"/>
          </w:rPr>
          <w:t>https://doi.org/10.1007/s42979-021-00858-4</w:t>
        </w:r>
      </w:hyperlink>
    </w:p>
    <w:p w14:paraId="4FC086E0" w14:textId="6B7AC9A3" w:rsidR="007D4951" w:rsidRDefault="007D4951" w:rsidP="00384F02">
      <w:pPr>
        <w:spacing w:line="480" w:lineRule="auto"/>
        <w:rPr>
          <w:rFonts w:ascii="Arial" w:hAnsi="Arial" w:cs="Arial"/>
          <w:sz w:val="24"/>
          <w:szCs w:val="24"/>
        </w:rPr>
      </w:pPr>
      <w:r>
        <w:rPr>
          <w:rFonts w:ascii="Arial" w:hAnsi="Arial" w:cs="Arial"/>
          <w:sz w:val="24"/>
          <w:szCs w:val="24"/>
        </w:rPr>
        <w:t xml:space="preserve">Department of Health and Social Care. (2018) </w:t>
      </w:r>
      <w:r w:rsidRPr="00223A31">
        <w:rPr>
          <w:rFonts w:ascii="Arial" w:hAnsi="Arial" w:cs="Arial"/>
          <w:i/>
          <w:iCs/>
          <w:sz w:val="24"/>
          <w:szCs w:val="24"/>
        </w:rPr>
        <w:t>Securing cyber resilience in health and care</w:t>
      </w:r>
      <w:r w:rsidRPr="00223A31">
        <w:rPr>
          <w:rFonts w:ascii="Arial" w:hAnsi="Arial" w:cs="Arial"/>
          <w:sz w:val="24"/>
          <w:szCs w:val="24"/>
        </w:rPr>
        <w:t xml:space="preserve">. Available at: </w:t>
      </w:r>
      <w:hyperlink r:id="rId11" w:history="1">
        <w:r w:rsidRPr="00904686">
          <w:rPr>
            <w:rStyle w:val="Hyperlink"/>
            <w:rFonts w:ascii="Arial" w:hAnsi="Arial" w:cs="Arial"/>
            <w:sz w:val="24"/>
            <w:szCs w:val="24"/>
          </w:rPr>
          <w:t>https://assets.publishing.service.gov.uk/government/uploads/system/uploads/attachment_data/file/747464/securing-cyber-resilience-in-health-and-care-september-2018-update.pdf</w:t>
        </w:r>
      </w:hyperlink>
      <w:r w:rsidRPr="00223A31">
        <w:rPr>
          <w:rFonts w:ascii="Arial" w:hAnsi="Arial" w:cs="Arial"/>
          <w:sz w:val="24"/>
          <w:szCs w:val="24"/>
        </w:rPr>
        <w:t>.</w:t>
      </w:r>
      <w:r>
        <w:rPr>
          <w:rFonts w:ascii="Arial" w:hAnsi="Arial" w:cs="Arial"/>
          <w:sz w:val="24"/>
          <w:szCs w:val="24"/>
        </w:rPr>
        <w:t xml:space="preserve"> (Accessed 09 September 2025).</w:t>
      </w:r>
    </w:p>
    <w:p w14:paraId="075F6BD3" w14:textId="77777777" w:rsidR="00BE1E43" w:rsidRDefault="00BE1E43" w:rsidP="00384F02">
      <w:pPr>
        <w:spacing w:line="480" w:lineRule="auto"/>
        <w:rPr>
          <w:rFonts w:ascii="Arial" w:hAnsi="Arial" w:cs="Arial"/>
          <w:sz w:val="24"/>
          <w:szCs w:val="24"/>
        </w:rPr>
      </w:pPr>
      <w:r>
        <w:rPr>
          <w:rFonts w:ascii="Arial" w:hAnsi="Arial" w:cs="Arial"/>
          <w:sz w:val="24"/>
          <w:szCs w:val="24"/>
        </w:rPr>
        <w:lastRenderedPageBreak/>
        <w:t>Department of Health &amp; Social Care</w:t>
      </w:r>
      <w:r w:rsidRPr="00D30CB5">
        <w:rPr>
          <w:rFonts w:ascii="Arial" w:hAnsi="Arial" w:cs="Arial"/>
          <w:sz w:val="24"/>
          <w:szCs w:val="24"/>
        </w:rPr>
        <w:t xml:space="preserve"> (2023) </w:t>
      </w:r>
      <w:r w:rsidRPr="00D30CB5">
        <w:rPr>
          <w:rFonts w:ascii="Arial" w:hAnsi="Arial" w:cs="Arial"/>
          <w:i/>
          <w:iCs/>
          <w:sz w:val="24"/>
          <w:szCs w:val="24"/>
        </w:rPr>
        <w:t>A cyber resilient health and adult social care system in England: cyber security strategy to 2030</w:t>
      </w:r>
      <w:r w:rsidRPr="00D30CB5">
        <w:rPr>
          <w:rFonts w:ascii="Arial" w:hAnsi="Arial" w:cs="Arial"/>
          <w:sz w:val="24"/>
          <w:szCs w:val="24"/>
        </w:rPr>
        <w:t xml:space="preserve">. Available at: </w:t>
      </w:r>
      <w:hyperlink r:id="rId12" w:history="1">
        <w:r w:rsidRPr="00D30CB5">
          <w:rPr>
            <w:rStyle w:val="Hyperlink"/>
            <w:rFonts w:ascii="Arial" w:hAnsi="Arial" w:cs="Arial"/>
            <w:sz w:val="24"/>
            <w:szCs w:val="24"/>
          </w:rPr>
          <w:t>https://www.gov.uk/government/publications/cyber-security-strategy-for-health-and-social-care-2023-to-2030/a-cyber-resilient-health-and-adult-social-care-system-in-england-cyber-security-strategy-to-2030</w:t>
        </w:r>
      </w:hyperlink>
      <w:r>
        <w:rPr>
          <w:rFonts w:ascii="Arial" w:hAnsi="Arial" w:cs="Arial"/>
          <w:sz w:val="24"/>
          <w:szCs w:val="24"/>
        </w:rPr>
        <w:t xml:space="preserve"> (Accessed 05 September 2025).</w:t>
      </w:r>
    </w:p>
    <w:p w14:paraId="72B83E3D" w14:textId="3FDD45B5" w:rsidR="00BE1E43" w:rsidRDefault="00BE1E43" w:rsidP="00384F02">
      <w:pPr>
        <w:spacing w:line="480" w:lineRule="auto"/>
        <w:rPr>
          <w:rFonts w:ascii="Arial" w:hAnsi="Arial" w:cs="Arial"/>
          <w:sz w:val="24"/>
          <w:szCs w:val="24"/>
        </w:rPr>
      </w:pPr>
      <w:r w:rsidRPr="003456D4">
        <w:rPr>
          <w:rFonts w:ascii="Arial" w:hAnsi="Arial" w:cs="Arial"/>
          <w:sz w:val="24"/>
          <w:szCs w:val="24"/>
        </w:rPr>
        <w:t>Dissanayake, N. </w:t>
      </w:r>
      <w:r w:rsidRPr="003456D4">
        <w:rPr>
          <w:rFonts w:ascii="Arial" w:hAnsi="Arial" w:cs="Arial"/>
          <w:i/>
          <w:iCs/>
          <w:sz w:val="24"/>
          <w:szCs w:val="24"/>
        </w:rPr>
        <w:t>et al.</w:t>
      </w:r>
      <w:r w:rsidRPr="003456D4">
        <w:rPr>
          <w:rFonts w:ascii="Arial" w:hAnsi="Arial" w:cs="Arial"/>
          <w:sz w:val="24"/>
          <w:szCs w:val="24"/>
        </w:rPr>
        <w:t> (2022) ‘Why, How and Where of Delays in Software Security Patch Management: An Empirical Investigation in the Healthcare Sector’, </w:t>
      </w:r>
      <w:r w:rsidRPr="003456D4">
        <w:rPr>
          <w:rFonts w:ascii="Arial" w:hAnsi="Arial" w:cs="Arial"/>
          <w:i/>
          <w:iCs/>
          <w:sz w:val="24"/>
          <w:szCs w:val="24"/>
        </w:rPr>
        <w:t>arXiv (Cornell University)</w:t>
      </w:r>
      <w:r w:rsidR="007D4951">
        <w:rPr>
          <w:rFonts w:ascii="Arial" w:hAnsi="Arial" w:cs="Arial"/>
          <w:sz w:val="24"/>
          <w:szCs w:val="24"/>
        </w:rPr>
        <w:t xml:space="preserve">. </w:t>
      </w:r>
      <w:r w:rsidR="00384F02">
        <w:rPr>
          <w:rFonts w:ascii="Arial" w:hAnsi="Arial" w:cs="Arial"/>
          <w:sz w:val="24"/>
          <w:szCs w:val="24"/>
        </w:rPr>
        <w:t>DOI</w:t>
      </w:r>
      <w:r w:rsidRPr="003456D4">
        <w:rPr>
          <w:rFonts w:ascii="Arial" w:hAnsi="Arial" w:cs="Arial"/>
          <w:sz w:val="24"/>
          <w:szCs w:val="24"/>
        </w:rPr>
        <w:t xml:space="preserve">: </w:t>
      </w:r>
      <w:hyperlink r:id="rId13" w:history="1">
        <w:r w:rsidRPr="002939D4">
          <w:rPr>
            <w:rStyle w:val="Hyperlink"/>
            <w:rFonts w:ascii="Arial" w:hAnsi="Arial" w:cs="Arial"/>
            <w:sz w:val="24"/>
            <w:szCs w:val="24"/>
          </w:rPr>
          <w:t>https://doi.org/10.48550/arxiv.2202.09016</w:t>
        </w:r>
      </w:hyperlink>
      <w:r w:rsidRPr="003456D4">
        <w:rPr>
          <w:rFonts w:ascii="Arial" w:hAnsi="Arial" w:cs="Arial"/>
          <w:sz w:val="24"/>
          <w:szCs w:val="24"/>
        </w:rPr>
        <w:t>.</w:t>
      </w:r>
    </w:p>
    <w:p w14:paraId="21389A08" w14:textId="77777777" w:rsidR="00BE1E43" w:rsidRDefault="00BE1E43" w:rsidP="00384F02">
      <w:pPr>
        <w:spacing w:line="480" w:lineRule="auto"/>
        <w:rPr>
          <w:rFonts w:ascii="Arial" w:hAnsi="Arial" w:cs="Arial"/>
          <w:sz w:val="24"/>
          <w:szCs w:val="24"/>
        </w:rPr>
      </w:pPr>
      <w:r w:rsidRPr="007D4951">
        <w:rPr>
          <w:rFonts w:ascii="Arial" w:hAnsi="Arial" w:cs="Arial"/>
          <w:sz w:val="24"/>
          <w:szCs w:val="24"/>
        </w:rPr>
        <w:t>ENISA</w:t>
      </w:r>
      <w:r>
        <w:rPr>
          <w:rFonts w:ascii="Arial" w:hAnsi="Arial" w:cs="Arial"/>
          <w:i/>
          <w:iCs/>
          <w:sz w:val="24"/>
          <w:szCs w:val="24"/>
        </w:rPr>
        <w:t xml:space="preserve">. </w:t>
      </w:r>
      <w:r w:rsidRPr="007D4951">
        <w:rPr>
          <w:rFonts w:ascii="Arial" w:hAnsi="Arial" w:cs="Arial"/>
          <w:sz w:val="24"/>
          <w:szCs w:val="24"/>
        </w:rPr>
        <w:t>(2023)</w:t>
      </w:r>
      <w:r>
        <w:rPr>
          <w:rFonts w:ascii="Arial" w:hAnsi="Arial" w:cs="Arial"/>
          <w:i/>
          <w:iCs/>
          <w:sz w:val="24"/>
          <w:szCs w:val="24"/>
        </w:rPr>
        <w:t xml:space="preserve"> </w:t>
      </w:r>
      <w:r w:rsidRPr="00922EE5">
        <w:rPr>
          <w:rFonts w:ascii="Arial" w:hAnsi="Arial" w:cs="Arial"/>
          <w:i/>
          <w:iCs/>
          <w:sz w:val="24"/>
          <w:szCs w:val="24"/>
        </w:rPr>
        <w:t>Health Threat Landsc</w:t>
      </w:r>
      <w:r>
        <w:rPr>
          <w:rFonts w:ascii="Arial" w:hAnsi="Arial" w:cs="Arial"/>
          <w:i/>
          <w:iCs/>
          <w:sz w:val="24"/>
          <w:szCs w:val="24"/>
        </w:rPr>
        <w:t>ape</w:t>
      </w:r>
      <w:r w:rsidRPr="00922EE5">
        <w:rPr>
          <w:rFonts w:ascii="Arial" w:hAnsi="Arial" w:cs="Arial"/>
          <w:sz w:val="24"/>
          <w:szCs w:val="24"/>
        </w:rPr>
        <w:t>. Available at: https://www.enisa.europa.eu/publications/health-threat-landscape (Accessed: 13 September 2023).</w:t>
      </w:r>
    </w:p>
    <w:p w14:paraId="1379DFBA" w14:textId="56120F2E" w:rsidR="00BE1E43" w:rsidRDefault="00BE1E43" w:rsidP="00384F02">
      <w:pPr>
        <w:spacing w:line="480" w:lineRule="auto"/>
        <w:rPr>
          <w:rFonts w:ascii="Arial" w:hAnsi="Arial" w:cs="Arial"/>
          <w:sz w:val="24"/>
          <w:szCs w:val="24"/>
        </w:rPr>
      </w:pPr>
      <w:r w:rsidRPr="00FF5297">
        <w:rPr>
          <w:rFonts w:ascii="Arial" w:hAnsi="Arial" w:cs="Arial"/>
          <w:sz w:val="24"/>
          <w:szCs w:val="24"/>
        </w:rPr>
        <w:t>Ewoh, P. and Vartiainen, T. (2024) ‘Vulnerabilities, Cyberattacks and Socio-technical Solutions in Healthcare Systems: Systematic Review (Preprint)’, </w:t>
      </w:r>
      <w:r w:rsidRPr="00FF5297">
        <w:rPr>
          <w:rFonts w:ascii="Arial" w:hAnsi="Arial" w:cs="Arial"/>
          <w:i/>
          <w:iCs/>
          <w:sz w:val="24"/>
          <w:szCs w:val="24"/>
        </w:rPr>
        <w:t>JMIR. Journal of medical internet research/Journal of medical internet research</w:t>
      </w:r>
      <w:r w:rsidRPr="00FF5297">
        <w:rPr>
          <w:rFonts w:ascii="Arial" w:hAnsi="Arial" w:cs="Arial"/>
          <w:sz w:val="24"/>
          <w:szCs w:val="24"/>
        </w:rPr>
        <w:t xml:space="preserve">, 26, pp. e46904–e46904. </w:t>
      </w:r>
      <w:r w:rsidR="00384F02">
        <w:rPr>
          <w:rFonts w:ascii="Arial" w:hAnsi="Arial" w:cs="Arial"/>
          <w:sz w:val="24"/>
          <w:szCs w:val="24"/>
        </w:rPr>
        <w:t>DOI</w:t>
      </w:r>
      <w:r w:rsidRPr="00FF5297">
        <w:rPr>
          <w:rFonts w:ascii="Arial" w:hAnsi="Arial" w:cs="Arial"/>
          <w:sz w:val="24"/>
          <w:szCs w:val="24"/>
        </w:rPr>
        <w:t xml:space="preserve">: </w:t>
      </w:r>
      <w:hyperlink r:id="rId14" w:history="1">
        <w:r w:rsidRPr="004D2A06">
          <w:rPr>
            <w:rStyle w:val="Hyperlink"/>
            <w:rFonts w:ascii="Arial" w:hAnsi="Arial" w:cs="Arial"/>
            <w:sz w:val="24"/>
            <w:szCs w:val="24"/>
          </w:rPr>
          <w:t>https://doi.org/10.2196/46904</w:t>
        </w:r>
      </w:hyperlink>
      <w:r w:rsidRPr="00FF5297">
        <w:rPr>
          <w:rFonts w:ascii="Arial" w:hAnsi="Arial" w:cs="Arial"/>
          <w:sz w:val="24"/>
          <w:szCs w:val="24"/>
        </w:rPr>
        <w:t>.</w:t>
      </w:r>
    </w:p>
    <w:p w14:paraId="4588AC99" w14:textId="14A7FB29" w:rsidR="00BE1E43" w:rsidRDefault="00BE1E43" w:rsidP="00384F02">
      <w:pPr>
        <w:spacing w:line="480" w:lineRule="auto"/>
        <w:rPr>
          <w:rFonts w:ascii="Arial" w:hAnsi="Arial" w:cs="Arial"/>
          <w:sz w:val="24"/>
          <w:szCs w:val="24"/>
        </w:rPr>
      </w:pPr>
      <w:r w:rsidRPr="00241A03">
        <w:rPr>
          <w:rFonts w:ascii="Arial" w:hAnsi="Arial" w:cs="Arial"/>
          <w:sz w:val="24"/>
          <w:szCs w:val="24"/>
        </w:rPr>
        <w:t>Farace</w:t>
      </w:r>
      <w:r w:rsidR="007F79CC">
        <w:rPr>
          <w:rFonts w:ascii="Arial" w:hAnsi="Arial" w:cs="Arial"/>
          <w:sz w:val="24"/>
          <w:szCs w:val="24"/>
        </w:rPr>
        <w:t>, D.</w:t>
      </w:r>
      <w:r w:rsidRPr="00241A03">
        <w:rPr>
          <w:rFonts w:ascii="Arial" w:hAnsi="Arial" w:cs="Arial"/>
          <w:sz w:val="24"/>
          <w:szCs w:val="24"/>
        </w:rPr>
        <w:t xml:space="preserve"> and Schöpfel</w:t>
      </w:r>
      <w:r w:rsidR="007F79CC">
        <w:rPr>
          <w:rFonts w:ascii="Arial" w:hAnsi="Arial" w:cs="Arial"/>
          <w:sz w:val="24"/>
          <w:szCs w:val="24"/>
        </w:rPr>
        <w:t>, J.</w:t>
      </w:r>
      <w:r w:rsidRPr="00241A03">
        <w:rPr>
          <w:rFonts w:ascii="Arial" w:hAnsi="Arial" w:cs="Arial"/>
          <w:sz w:val="24"/>
          <w:szCs w:val="24"/>
        </w:rPr>
        <w:t xml:space="preserve"> (2010) </w:t>
      </w:r>
      <w:r w:rsidRPr="00241A03">
        <w:rPr>
          <w:rFonts w:ascii="Arial" w:hAnsi="Arial" w:cs="Arial"/>
          <w:i/>
          <w:iCs/>
          <w:sz w:val="24"/>
          <w:szCs w:val="24"/>
        </w:rPr>
        <w:t>Grey literature in library and information studies</w:t>
      </w:r>
      <w:r w:rsidRPr="00241A03">
        <w:rPr>
          <w:rFonts w:ascii="Arial" w:hAnsi="Arial" w:cs="Arial"/>
          <w:sz w:val="24"/>
          <w:szCs w:val="24"/>
        </w:rPr>
        <w:t>. De Gruyter Saur.</w:t>
      </w:r>
    </w:p>
    <w:p w14:paraId="2752551B" w14:textId="5BB65580" w:rsidR="00BE1E43" w:rsidRDefault="00BE1E43" w:rsidP="00384F02">
      <w:pPr>
        <w:spacing w:line="480" w:lineRule="auto"/>
        <w:rPr>
          <w:rFonts w:ascii="Arial" w:hAnsi="Arial" w:cs="Arial"/>
          <w:sz w:val="24"/>
          <w:szCs w:val="24"/>
        </w:rPr>
      </w:pPr>
      <w:r w:rsidRPr="00EE2357">
        <w:rPr>
          <w:rFonts w:ascii="Arial" w:hAnsi="Arial" w:cs="Arial"/>
          <w:sz w:val="24"/>
          <w:szCs w:val="24"/>
        </w:rPr>
        <w:t>Ghafur, S. </w:t>
      </w:r>
      <w:r w:rsidRPr="00764ED2">
        <w:rPr>
          <w:rFonts w:ascii="Arial" w:hAnsi="Arial" w:cs="Arial"/>
          <w:sz w:val="24"/>
          <w:szCs w:val="24"/>
        </w:rPr>
        <w:t>et al</w:t>
      </w:r>
      <w:r w:rsidRPr="00EE2357">
        <w:rPr>
          <w:rFonts w:ascii="Arial" w:hAnsi="Arial" w:cs="Arial"/>
          <w:i/>
          <w:iCs/>
          <w:sz w:val="24"/>
          <w:szCs w:val="24"/>
        </w:rPr>
        <w:t>.</w:t>
      </w:r>
      <w:r w:rsidRPr="00EE2357">
        <w:rPr>
          <w:rFonts w:ascii="Arial" w:hAnsi="Arial" w:cs="Arial"/>
          <w:sz w:val="24"/>
          <w:szCs w:val="24"/>
        </w:rPr>
        <w:t xml:space="preserve"> (2019) ‘A Retrospective Impact Analysis of the </w:t>
      </w:r>
      <w:r w:rsidR="00E7270B">
        <w:rPr>
          <w:rFonts w:ascii="Arial" w:hAnsi="Arial" w:cs="Arial"/>
          <w:sz w:val="24"/>
          <w:szCs w:val="24"/>
        </w:rPr>
        <w:t>WannaCry</w:t>
      </w:r>
      <w:r w:rsidRPr="00EE2357">
        <w:rPr>
          <w:rFonts w:ascii="Arial" w:hAnsi="Arial" w:cs="Arial"/>
          <w:sz w:val="24"/>
          <w:szCs w:val="24"/>
        </w:rPr>
        <w:t xml:space="preserve"> Cyberattack on the NHS’, </w:t>
      </w:r>
      <w:r w:rsidRPr="00EE2357">
        <w:rPr>
          <w:rFonts w:ascii="Arial" w:hAnsi="Arial" w:cs="Arial"/>
          <w:i/>
          <w:iCs/>
          <w:sz w:val="24"/>
          <w:szCs w:val="24"/>
        </w:rPr>
        <w:t>npj Digital Medicine</w:t>
      </w:r>
      <w:r w:rsidRPr="00EE2357">
        <w:rPr>
          <w:rFonts w:ascii="Arial" w:hAnsi="Arial" w:cs="Arial"/>
          <w:sz w:val="24"/>
          <w:szCs w:val="24"/>
        </w:rPr>
        <w:t xml:space="preserve">, 2(1). Available at: </w:t>
      </w:r>
      <w:hyperlink r:id="rId15" w:history="1">
        <w:r w:rsidRPr="00EE2357">
          <w:rPr>
            <w:rStyle w:val="Hyperlink"/>
            <w:rFonts w:ascii="Arial" w:hAnsi="Arial" w:cs="Arial"/>
            <w:sz w:val="24"/>
            <w:szCs w:val="24"/>
          </w:rPr>
          <w:t>https://www.natu</w:t>
        </w:r>
        <w:r w:rsidRPr="004D2A06">
          <w:rPr>
            <w:rStyle w:val="Hyperlink"/>
            <w:rFonts w:ascii="Arial" w:hAnsi="Arial" w:cs="Arial"/>
            <w:sz w:val="24"/>
            <w:szCs w:val="24"/>
          </w:rPr>
          <w:t>r</w:t>
        </w:r>
        <w:r w:rsidRPr="00EE2357">
          <w:rPr>
            <w:rStyle w:val="Hyperlink"/>
            <w:rFonts w:ascii="Arial" w:hAnsi="Arial" w:cs="Arial"/>
            <w:sz w:val="24"/>
            <w:szCs w:val="24"/>
          </w:rPr>
          <w:t>e.com/articles/s41746-019-0161-6</w:t>
        </w:r>
      </w:hyperlink>
      <w:r w:rsidRPr="00EE2357">
        <w:rPr>
          <w:rFonts w:ascii="Arial" w:hAnsi="Arial" w:cs="Arial"/>
          <w:sz w:val="24"/>
          <w:szCs w:val="24"/>
        </w:rPr>
        <w:t>.</w:t>
      </w:r>
      <w:r>
        <w:rPr>
          <w:rFonts w:ascii="Arial" w:hAnsi="Arial" w:cs="Arial"/>
          <w:sz w:val="24"/>
          <w:szCs w:val="24"/>
        </w:rPr>
        <w:t xml:space="preserve"> (Accessed 27</w:t>
      </w:r>
      <w:r w:rsidRPr="00EE2357">
        <w:rPr>
          <w:rFonts w:ascii="Arial" w:hAnsi="Arial" w:cs="Arial"/>
          <w:sz w:val="24"/>
          <w:szCs w:val="24"/>
          <w:vertAlign w:val="superscript"/>
        </w:rPr>
        <w:t>th</w:t>
      </w:r>
      <w:r>
        <w:rPr>
          <w:rFonts w:ascii="Arial" w:hAnsi="Arial" w:cs="Arial"/>
          <w:sz w:val="24"/>
          <w:szCs w:val="24"/>
        </w:rPr>
        <w:t xml:space="preserve"> August 2025).</w:t>
      </w:r>
    </w:p>
    <w:p w14:paraId="1C97B963" w14:textId="77777777" w:rsidR="00BE1E43" w:rsidRDefault="00BE1E43" w:rsidP="00384F02">
      <w:pPr>
        <w:spacing w:line="480" w:lineRule="auto"/>
        <w:rPr>
          <w:rFonts w:ascii="Arial" w:hAnsi="Arial" w:cs="Arial"/>
          <w:iCs/>
          <w:sz w:val="24"/>
          <w:szCs w:val="24"/>
        </w:rPr>
      </w:pPr>
      <w:r w:rsidRPr="00C03A97">
        <w:rPr>
          <w:rFonts w:ascii="Arial" w:hAnsi="Arial" w:cs="Arial"/>
          <w:sz w:val="24"/>
          <w:szCs w:val="24"/>
        </w:rPr>
        <w:t>Ghafur, S. et al. (2020)</w:t>
      </w:r>
      <w:r w:rsidRPr="00C03A97">
        <w:rPr>
          <w:rFonts w:ascii="Arial" w:hAnsi="Arial" w:cs="Arial"/>
          <w:i/>
          <w:iCs/>
          <w:sz w:val="24"/>
          <w:szCs w:val="24"/>
        </w:rPr>
        <w:t xml:space="preserve"> Improving Cyber Security. Available at: </w:t>
      </w:r>
      <w:hyperlink r:id="rId16" w:history="1">
        <w:r w:rsidRPr="00C03A97">
          <w:rPr>
            <w:rStyle w:val="Hyperlink"/>
            <w:rFonts w:ascii="Arial" w:hAnsi="Arial" w:cs="Arial"/>
            <w:i/>
            <w:iCs/>
            <w:sz w:val="24"/>
            <w:szCs w:val="24"/>
          </w:rPr>
          <w:t>https://www.imperial.ac.uk/media/imperial-college/institute-of-global-health-innovation/Cyber-report-2020.pdf</w:t>
        </w:r>
      </w:hyperlink>
      <w:r w:rsidRPr="00C03A97">
        <w:rPr>
          <w:rFonts w:ascii="Arial" w:hAnsi="Arial" w:cs="Arial"/>
          <w:i/>
          <w:iCs/>
          <w:sz w:val="24"/>
          <w:szCs w:val="24"/>
        </w:rPr>
        <w:t>.</w:t>
      </w:r>
      <w:r>
        <w:rPr>
          <w:rFonts w:ascii="Arial" w:hAnsi="Arial" w:cs="Arial"/>
          <w:i/>
          <w:iCs/>
          <w:sz w:val="24"/>
          <w:szCs w:val="24"/>
        </w:rPr>
        <w:t xml:space="preserve"> </w:t>
      </w:r>
      <w:r>
        <w:rPr>
          <w:rFonts w:ascii="Arial" w:hAnsi="Arial" w:cs="Arial"/>
          <w:iCs/>
          <w:sz w:val="24"/>
          <w:szCs w:val="24"/>
        </w:rPr>
        <w:t>(Accessed 27</w:t>
      </w:r>
      <w:r w:rsidRPr="00C03A97">
        <w:rPr>
          <w:rFonts w:ascii="Arial" w:hAnsi="Arial" w:cs="Arial"/>
          <w:iCs/>
          <w:sz w:val="24"/>
          <w:szCs w:val="24"/>
          <w:vertAlign w:val="superscript"/>
        </w:rPr>
        <w:t>th</w:t>
      </w:r>
      <w:r>
        <w:rPr>
          <w:rFonts w:ascii="Arial" w:hAnsi="Arial" w:cs="Arial"/>
          <w:iCs/>
          <w:sz w:val="24"/>
          <w:szCs w:val="24"/>
        </w:rPr>
        <w:t xml:space="preserve"> August 2025).</w:t>
      </w:r>
    </w:p>
    <w:p w14:paraId="03AFD6DF" w14:textId="2488D476" w:rsidR="00BE1E43" w:rsidRPr="00C03A97" w:rsidRDefault="00BE1E43" w:rsidP="00384F02">
      <w:pPr>
        <w:spacing w:line="480" w:lineRule="auto"/>
        <w:rPr>
          <w:rFonts w:ascii="Arial" w:hAnsi="Arial" w:cs="Arial"/>
          <w:iCs/>
          <w:sz w:val="24"/>
          <w:szCs w:val="24"/>
        </w:rPr>
      </w:pPr>
      <w:r w:rsidRPr="006475DD">
        <w:rPr>
          <w:rFonts w:ascii="Arial" w:hAnsi="Arial" w:cs="Arial"/>
          <w:iCs/>
          <w:sz w:val="24"/>
          <w:szCs w:val="24"/>
        </w:rPr>
        <w:lastRenderedPageBreak/>
        <w:t>Greenwood, D., Khajeh-Hosseini, A. and Sommerville, I. (2010) </w:t>
      </w:r>
      <w:r w:rsidRPr="006475DD">
        <w:rPr>
          <w:rFonts w:ascii="Arial" w:hAnsi="Arial" w:cs="Arial"/>
          <w:i/>
          <w:iCs/>
          <w:sz w:val="24"/>
          <w:szCs w:val="24"/>
        </w:rPr>
        <w:t>Lessons from the Failure and Subsequent Success of a Complex Healthcare Sector IT Project</w:t>
      </w:r>
      <w:r w:rsidRPr="006475DD">
        <w:rPr>
          <w:rFonts w:ascii="Arial" w:hAnsi="Arial" w:cs="Arial"/>
          <w:iCs/>
          <w:sz w:val="24"/>
          <w:szCs w:val="24"/>
        </w:rPr>
        <w:t>, </w:t>
      </w:r>
      <w:r w:rsidRPr="006475DD">
        <w:rPr>
          <w:rFonts w:ascii="Arial" w:hAnsi="Arial" w:cs="Arial"/>
          <w:i/>
          <w:iCs/>
          <w:sz w:val="24"/>
          <w:szCs w:val="24"/>
        </w:rPr>
        <w:t>arXiv.org</w:t>
      </w:r>
      <w:r w:rsidRPr="006475DD">
        <w:rPr>
          <w:rFonts w:ascii="Arial" w:hAnsi="Arial" w:cs="Arial"/>
          <w:iCs/>
          <w:sz w:val="24"/>
          <w:szCs w:val="24"/>
        </w:rPr>
        <w:t xml:space="preserve">. </w:t>
      </w:r>
      <w:r w:rsidR="00384F02">
        <w:rPr>
          <w:rFonts w:ascii="Arial" w:hAnsi="Arial" w:cs="Arial"/>
          <w:iCs/>
          <w:sz w:val="24"/>
          <w:szCs w:val="24"/>
        </w:rPr>
        <w:t>DOI</w:t>
      </w:r>
      <w:r w:rsidRPr="006475DD">
        <w:rPr>
          <w:rFonts w:ascii="Arial" w:hAnsi="Arial" w:cs="Arial"/>
          <w:iCs/>
          <w:sz w:val="24"/>
          <w:szCs w:val="24"/>
        </w:rPr>
        <w:t>: https://doi.org/10.48550/arXiv.1003.3880.</w:t>
      </w:r>
    </w:p>
    <w:p w14:paraId="0BD2DC91" w14:textId="77777777" w:rsidR="00BE1E43" w:rsidRDefault="00BE1E43" w:rsidP="00384F02">
      <w:pPr>
        <w:spacing w:line="480" w:lineRule="auto"/>
        <w:rPr>
          <w:rFonts w:ascii="Arial" w:hAnsi="Arial" w:cs="Arial"/>
          <w:sz w:val="24"/>
          <w:szCs w:val="24"/>
        </w:rPr>
      </w:pPr>
      <w:r w:rsidRPr="00107D03">
        <w:rPr>
          <w:rFonts w:ascii="Arial" w:hAnsi="Arial" w:cs="Arial"/>
          <w:sz w:val="24"/>
          <w:szCs w:val="24"/>
        </w:rPr>
        <w:t>Holdsworth, J. and Kosinski, M. (2024) </w:t>
      </w:r>
      <w:r w:rsidRPr="00107D03">
        <w:rPr>
          <w:rFonts w:ascii="Arial" w:hAnsi="Arial" w:cs="Arial"/>
          <w:i/>
          <w:iCs/>
          <w:sz w:val="24"/>
          <w:szCs w:val="24"/>
        </w:rPr>
        <w:t>Ransomware as a service</w:t>
      </w:r>
      <w:r w:rsidRPr="00107D03">
        <w:rPr>
          <w:rFonts w:ascii="Arial" w:hAnsi="Arial" w:cs="Arial"/>
          <w:sz w:val="24"/>
          <w:szCs w:val="24"/>
        </w:rPr>
        <w:t>, </w:t>
      </w:r>
      <w:r w:rsidRPr="00107D03">
        <w:rPr>
          <w:rFonts w:ascii="Arial" w:hAnsi="Arial" w:cs="Arial"/>
          <w:i/>
          <w:iCs/>
          <w:sz w:val="24"/>
          <w:szCs w:val="24"/>
        </w:rPr>
        <w:t>Ibm.com</w:t>
      </w:r>
      <w:r w:rsidRPr="00107D03">
        <w:rPr>
          <w:rFonts w:ascii="Arial" w:hAnsi="Arial" w:cs="Arial"/>
          <w:sz w:val="24"/>
          <w:szCs w:val="24"/>
        </w:rPr>
        <w:t xml:space="preserve">. Available at: </w:t>
      </w:r>
      <w:hyperlink r:id="rId17" w:history="1">
        <w:r w:rsidRPr="00315540">
          <w:rPr>
            <w:rStyle w:val="Hyperlink"/>
            <w:rFonts w:ascii="Arial" w:hAnsi="Arial" w:cs="Arial"/>
            <w:sz w:val="24"/>
            <w:szCs w:val="24"/>
          </w:rPr>
          <w:t>https://www.ibm.com/think/topics/ransomware-as-a-service</w:t>
        </w:r>
      </w:hyperlink>
      <w:r w:rsidRPr="00107D03">
        <w:rPr>
          <w:rFonts w:ascii="Arial" w:hAnsi="Arial" w:cs="Arial"/>
          <w:sz w:val="24"/>
          <w:szCs w:val="24"/>
        </w:rPr>
        <w:t>.</w:t>
      </w:r>
      <w:r>
        <w:rPr>
          <w:rFonts w:ascii="Arial" w:hAnsi="Arial" w:cs="Arial"/>
          <w:sz w:val="24"/>
          <w:szCs w:val="24"/>
        </w:rPr>
        <w:t xml:space="preserve"> (Accessed 20</w:t>
      </w:r>
      <w:r w:rsidRPr="00107D03">
        <w:rPr>
          <w:rFonts w:ascii="Arial" w:hAnsi="Arial" w:cs="Arial"/>
          <w:sz w:val="24"/>
          <w:szCs w:val="24"/>
          <w:vertAlign w:val="superscript"/>
        </w:rPr>
        <w:t>th</w:t>
      </w:r>
      <w:r>
        <w:rPr>
          <w:rFonts w:ascii="Arial" w:hAnsi="Arial" w:cs="Arial"/>
          <w:sz w:val="24"/>
          <w:szCs w:val="24"/>
        </w:rPr>
        <w:t xml:space="preserve"> August 2025).</w:t>
      </w:r>
    </w:p>
    <w:p w14:paraId="336458F4" w14:textId="27D8C00F" w:rsidR="00BE1E43" w:rsidRDefault="00BE1E43" w:rsidP="00384F02">
      <w:pPr>
        <w:spacing w:line="480" w:lineRule="auto"/>
        <w:rPr>
          <w:rFonts w:ascii="Arial" w:hAnsi="Arial" w:cs="Arial"/>
          <w:sz w:val="24"/>
          <w:szCs w:val="24"/>
        </w:rPr>
      </w:pPr>
      <w:r w:rsidRPr="00922EE5">
        <w:rPr>
          <w:rFonts w:ascii="Arial" w:hAnsi="Arial" w:cs="Arial"/>
          <w:sz w:val="24"/>
          <w:szCs w:val="24"/>
        </w:rPr>
        <w:t>IBM (2025) </w:t>
      </w:r>
      <w:r w:rsidRPr="00922EE5">
        <w:rPr>
          <w:rFonts w:ascii="Arial" w:hAnsi="Arial" w:cs="Arial"/>
          <w:i/>
          <w:iCs/>
          <w:sz w:val="24"/>
          <w:szCs w:val="24"/>
        </w:rPr>
        <w:t>Cost of a data breach report 2025</w:t>
      </w:r>
      <w:r w:rsidRPr="00922EE5">
        <w:rPr>
          <w:rFonts w:ascii="Arial" w:hAnsi="Arial" w:cs="Arial"/>
          <w:sz w:val="24"/>
          <w:szCs w:val="24"/>
        </w:rPr>
        <w:t>, </w:t>
      </w:r>
      <w:r w:rsidRPr="00922EE5">
        <w:rPr>
          <w:rFonts w:ascii="Arial" w:hAnsi="Arial" w:cs="Arial"/>
          <w:i/>
          <w:iCs/>
          <w:sz w:val="24"/>
          <w:szCs w:val="24"/>
        </w:rPr>
        <w:t>IBM</w:t>
      </w:r>
      <w:r w:rsidRPr="00922EE5">
        <w:rPr>
          <w:rFonts w:ascii="Arial" w:hAnsi="Arial" w:cs="Arial"/>
          <w:sz w:val="24"/>
          <w:szCs w:val="24"/>
        </w:rPr>
        <w:t xml:space="preserve">. Available at: </w:t>
      </w:r>
      <w:hyperlink r:id="rId18" w:history="1">
        <w:r w:rsidR="00384F02" w:rsidRPr="00904686">
          <w:rPr>
            <w:rStyle w:val="Hyperlink"/>
            <w:rFonts w:ascii="Arial" w:hAnsi="Arial" w:cs="Arial"/>
            <w:sz w:val="24"/>
            <w:szCs w:val="24"/>
          </w:rPr>
          <w:t>https://www.ibm.com/reports/data-breach</w:t>
        </w:r>
      </w:hyperlink>
      <w:r w:rsidRPr="00922EE5">
        <w:rPr>
          <w:rFonts w:ascii="Arial" w:hAnsi="Arial" w:cs="Arial"/>
          <w:sz w:val="24"/>
          <w:szCs w:val="24"/>
        </w:rPr>
        <w:t>.</w:t>
      </w:r>
      <w:r w:rsidR="00384F02">
        <w:rPr>
          <w:rFonts w:ascii="Arial" w:hAnsi="Arial" w:cs="Arial"/>
          <w:sz w:val="24"/>
          <w:szCs w:val="24"/>
        </w:rPr>
        <w:t xml:space="preserve"> (Accessed 20</w:t>
      </w:r>
      <w:r w:rsidR="00384F02" w:rsidRPr="00384F02">
        <w:rPr>
          <w:rFonts w:ascii="Arial" w:hAnsi="Arial" w:cs="Arial"/>
          <w:sz w:val="24"/>
          <w:szCs w:val="24"/>
          <w:vertAlign w:val="superscript"/>
        </w:rPr>
        <w:t>th</w:t>
      </w:r>
      <w:r w:rsidR="00384F02">
        <w:rPr>
          <w:rFonts w:ascii="Arial" w:hAnsi="Arial" w:cs="Arial"/>
          <w:sz w:val="24"/>
          <w:szCs w:val="24"/>
        </w:rPr>
        <w:t xml:space="preserve"> August 2025).</w:t>
      </w:r>
    </w:p>
    <w:p w14:paraId="2BB55DE9" w14:textId="6CD22935" w:rsidR="00BE1E43" w:rsidRDefault="00BE1E43" w:rsidP="00384F02">
      <w:pPr>
        <w:spacing w:line="480" w:lineRule="auto"/>
        <w:rPr>
          <w:rFonts w:ascii="Arial" w:hAnsi="Arial" w:cs="Arial"/>
          <w:sz w:val="24"/>
          <w:szCs w:val="24"/>
        </w:rPr>
      </w:pPr>
      <w:r w:rsidRPr="008D7B7C">
        <w:rPr>
          <w:rFonts w:ascii="Arial" w:hAnsi="Arial" w:cs="Arial"/>
          <w:sz w:val="24"/>
          <w:szCs w:val="24"/>
        </w:rPr>
        <w:t>Jiang, S., Chen, G. and Wang, T. (2025) ‘Governance of Dark Web Crimes from the Perspective of a Holistic Approach to National Security’, </w:t>
      </w:r>
      <w:r w:rsidRPr="008D7B7C">
        <w:rPr>
          <w:rFonts w:ascii="Arial" w:hAnsi="Arial" w:cs="Arial"/>
          <w:i/>
          <w:iCs/>
          <w:sz w:val="24"/>
          <w:szCs w:val="24"/>
        </w:rPr>
        <w:t>Advances in Social Science, Education and Humanities Research/Advances in social science, education and humanities research</w:t>
      </w:r>
      <w:r w:rsidRPr="008D7B7C">
        <w:rPr>
          <w:rFonts w:ascii="Arial" w:hAnsi="Arial" w:cs="Arial"/>
          <w:sz w:val="24"/>
          <w:szCs w:val="24"/>
        </w:rPr>
        <w:t xml:space="preserve">, pp. 1405–1418. </w:t>
      </w:r>
      <w:r w:rsidR="00384F02">
        <w:rPr>
          <w:rFonts w:ascii="Arial" w:hAnsi="Arial" w:cs="Arial"/>
          <w:sz w:val="24"/>
          <w:szCs w:val="24"/>
        </w:rPr>
        <w:t>DOI</w:t>
      </w:r>
      <w:r w:rsidRPr="008D7B7C">
        <w:rPr>
          <w:rFonts w:ascii="Arial" w:hAnsi="Arial" w:cs="Arial"/>
          <w:sz w:val="24"/>
          <w:szCs w:val="24"/>
        </w:rPr>
        <w:t>: https://doi.org/10.2991/978-2-38476-440-2_158.</w:t>
      </w:r>
    </w:p>
    <w:p w14:paraId="67E0823E" w14:textId="12D3E6AC" w:rsidR="00BE1E43" w:rsidRDefault="00BE1E43" w:rsidP="00384F02">
      <w:pPr>
        <w:spacing w:line="480" w:lineRule="auto"/>
        <w:rPr>
          <w:rFonts w:ascii="Arial" w:hAnsi="Arial" w:cs="Arial"/>
          <w:sz w:val="24"/>
          <w:szCs w:val="24"/>
        </w:rPr>
      </w:pPr>
      <w:r w:rsidRPr="00107D03">
        <w:rPr>
          <w:rFonts w:ascii="Arial" w:hAnsi="Arial" w:cs="Arial"/>
          <w:sz w:val="24"/>
          <w:szCs w:val="24"/>
        </w:rPr>
        <w:t>Kim, K. </w:t>
      </w:r>
      <w:r w:rsidRPr="00107D03">
        <w:rPr>
          <w:rFonts w:ascii="Arial" w:hAnsi="Arial" w:cs="Arial"/>
          <w:i/>
          <w:iCs/>
          <w:sz w:val="24"/>
          <w:szCs w:val="24"/>
        </w:rPr>
        <w:t>et al.</w:t>
      </w:r>
      <w:r w:rsidRPr="00107D03">
        <w:rPr>
          <w:rFonts w:ascii="Arial" w:hAnsi="Arial" w:cs="Arial"/>
          <w:sz w:val="24"/>
          <w:szCs w:val="24"/>
        </w:rPr>
        <w:t> (2025) ‘Cryptocurrency-driven ransomware syndicates operating on the darknet: A focused examination of the Arab world’, </w:t>
      </w:r>
      <w:r w:rsidRPr="00107D03">
        <w:rPr>
          <w:rFonts w:ascii="Arial" w:hAnsi="Arial" w:cs="Arial"/>
          <w:i/>
          <w:iCs/>
          <w:sz w:val="24"/>
          <w:szCs w:val="24"/>
        </w:rPr>
        <w:t>Egyptian Informatics Journal</w:t>
      </w:r>
      <w:r w:rsidRPr="00107D03">
        <w:rPr>
          <w:rFonts w:ascii="Arial" w:hAnsi="Arial" w:cs="Arial"/>
          <w:sz w:val="24"/>
          <w:szCs w:val="24"/>
        </w:rPr>
        <w:t xml:space="preserve">, 30, p. 100665. </w:t>
      </w:r>
      <w:r w:rsidR="00384F02">
        <w:rPr>
          <w:rFonts w:ascii="Arial" w:hAnsi="Arial" w:cs="Arial"/>
          <w:sz w:val="24"/>
          <w:szCs w:val="24"/>
        </w:rPr>
        <w:t>DOI</w:t>
      </w:r>
      <w:r w:rsidRPr="00107D03">
        <w:rPr>
          <w:rFonts w:ascii="Arial" w:hAnsi="Arial" w:cs="Arial"/>
          <w:sz w:val="24"/>
          <w:szCs w:val="24"/>
        </w:rPr>
        <w:t>: https://doi.org/10.1016/j.eij.2025.100665.</w:t>
      </w:r>
    </w:p>
    <w:p w14:paraId="2AF1731F" w14:textId="38160AE4" w:rsidR="00BE1E43" w:rsidRDefault="00BE1E43" w:rsidP="00384F02">
      <w:pPr>
        <w:spacing w:line="480" w:lineRule="auto"/>
        <w:rPr>
          <w:rFonts w:ascii="Arial" w:hAnsi="Arial" w:cs="Arial"/>
          <w:sz w:val="24"/>
          <w:szCs w:val="24"/>
        </w:rPr>
      </w:pPr>
      <w:r w:rsidRPr="001330D5">
        <w:rPr>
          <w:rFonts w:ascii="Arial" w:hAnsi="Arial" w:cs="Arial"/>
          <w:sz w:val="24"/>
          <w:szCs w:val="24"/>
        </w:rPr>
        <w:t>Lee, W. (</w:t>
      </w:r>
      <w:r>
        <w:rPr>
          <w:rFonts w:ascii="Arial" w:hAnsi="Arial" w:cs="Arial"/>
          <w:sz w:val="24"/>
          <w:szCs w:val="24"/>
        </w:rPr>
        <w:t>2021</w:t>
      </w:r>
      <w:r w:rsidRPr="001330D5">
        <w:rPr>
          <w:rFonts w:ascii="Arial" w:hAnsi="Arial" w:cs="Arial"/>
          <w:sz w:val="24"/>
          <w:szCs w:val="24"/>
        </w:rPr>
        <w:t>) </w:t>
      </w:r>
      <w:r w:rsidRPr="001330D5">
        <w:rPr>
          <w:rFonts w:ascii="Arial" w:hAnsi="Arial" w:cs="Arial"/>
          <w:i/>
          <w:iCs/>
          <w:sz w:val="24"/>
          <w:szCs w:val="24"/>
        </w:rPr>
        <w:t>Malware and Attack Technologies Knowledge Area Version</w:t>
      </w:r>
      <w:r w:rsidRPr="001330D5">
        <w:rPr>
          <w:rFonts w:ascii="Arial" w:hAnsi="Arial" w:cs="Arial"/>
          <w:sz w:val="24"/>
          <w:szCs w:val="24"/>
        </w:rPr>
        <w:t>. Available at:</w:t>
      </w:r>
      <w:r w:rsidR="00384F02">
        <w:rPr>
          <w:rFonts w:ascii="Arial" w:hAnsi="Arial" w:cs="Arial"/>
          <w:sz w:val="24"/>
          <w:szCs w:val="24"/>
        </w:rPr>
        <w:t xml:space="preserve"> </w:t>
      </w:r>
      <w:hyperlink r:id="rId19" w:history="1">
        <w:r w:rsidR="00384F02" w:rsidRPr="00904686">
          <w:rPr>
            <w:rStyle w:val="Hyperlink"/>
            <w:rFonts w:ascii="Arial" w:hAnsi="Arial" w:cs="Arial"/>
            <w:sz w:val="24"/>
            <w:szCs w:val="24"/>
          </w:rPr>
          <w:t>https://www.cybok.org/media/downloads/Malware_Attack_Technologies_v1.0.1.pdf</w:t>
        </w:r>
      </w:hyperlink>
      <w:r w:rsidRPr="001330D5">
        <w:rPr>
          <w:rFonts w:ascii="Arial" w:hAnsi="Arial" w:cs="Arial"/>
          <w:sz w:val="24"/>
          <w:szCs w:val="24"/>
        </w:rPr>
        <w:t>.</w:t>
      </w:r>
      <w:r>
        <w:rPr>
          <w:rFonts w:ascii="Arial" w:hAnsi="Arial" w:cs="Arial"/>
          <w:sz w:val="24"/>
          <w:szCs w:val="24"/>
        </w:rPr>
        <w:t xml:space="preserve"> (Accessed 02</w:t>
      </w:r>
      <w:r w:rsidRPr="001330D5">
        <w:rPr>
          <w:rFonts w:ascii="Arial" w:hAnsi="Arial" w:cs="Arial"/>
          <w:sz w:val="24"/>
          <w:szCs w:val="24"/>
          <w:vertAlign w:val="superscript"/>
        </w:rPr>
        <w:t>nd</w:t>
      </w:r>
      <w:r>
        <w:rPr>
          <w:rFonts w:ascii="Arial" w:hAnsi="Arial" w:cs="Arial"/>
          <w:sz w:val="24"/>
          <w:szCs w:val="24"/>
        </w:rPr>
        <w:t xml:space="preserve"> August 2025).</w:t>
      </w:r>
    </w:p>
    <w:p w14:paraId="0BDA23A3" w14:textId="74874E35" w:rsidR="00BE1E43" w:rsidRDefault="00BE1E43" w:rsidP="00384F02">
      <w:pPr>
        <w:spacing w:line="480" w:lineRule="auto"/>
      </w:pPr>
      <w:r w:rsidRPr="001330D5">
        <w:rPr>
          <w:rFonts w:ascii="Arial" w:hAnsi="Arial" w:cs="Arial"/>
          <w:sz w:val="24"/>
          <w:szCs w:val="24"/>
        </w:rPr>
        <w:t xml:space="preserve">Liao, WJ., Ban, T., Cheng, SM., Takahashi, T. (2025). Reinterpreting System Calls for Enhanced IoT Malware Analysis Using Function Call Graphs. In: Kim, J., Park, J., Lee, WK. (eds) Information Security and Cryptology – ICISC 2024 . ICISC 2024. </w:t>
      </w:r>
      <w:r w:rsidRPr="001330D5">
        <w:rPr>
          <w:rFonts w:ascii="Arial" w:hAnsi="Arial" w:cs="Arial"/>
          <w:sz w:val="24"/>
          <w:szCs w:val="24"/>
        </w:rPr>
        <w:lastRenderedPageBreak/>
        <w:t xml:space="preserve">Lecture Notes in Computer Science, vol 15596. Springer, Singapore. </w:t>
      </w:r>
      <w:r w:rsidR="00384F02">
        <w:rPr>
          <w:rFonts w:ascii="Arial" w:hAnsi="Arial" w:cs="Arial"/>
          <w:sz w:val="24"/>
          <w:szCs w:val="24"/>
        </w:rPr>
        <w:t xml:space="preserve">DOI: </w:t>
      </w:r>
      <w:hyperlink r:id="rId20" w:history="1">
        <w:r w:rsidR="00384F02" w:rsidRPr="00904686">
          <w:rPr>
            <w:rStyle w:val="Hyperlink"/>
            <w:rFonts w:ascii="Arial" w:hAnsi="Arial" w:cs="Arial"/>
            <w:sz w:val="24"/>
            <w:szCs w:val="24"/>
          </w:rPr>
          <w:t>https://doi.org/10.1007/978-981-96-5566-3_17</w:t>
        </w:r>
      </w:hyperlink>
    </w:p>
    <w:p w14:paraId="4A95E09B" w14:textId="7C910D66" w:rsidR="00BE1E43" w:rsidRPr="00384F02" w:rsidRDefault="00BE1E43" w:rsidP="00384F02">
      <w:pPr>
        <w:spacing w:line="480" w:lineRule="auto"/>
        <w:rPr>
          <w:rFonts w:ascii="Arial" w:hAnsi="Arial" w:cs="Arial"/>
          <w:sz w:val="24"/>
          <w:szCs w:val="24"/>
        </w:rPr>
      </w:pPr>
      <w:r w:rsidRPr="00384F02">
        <w:rPr>
          <w:rFonts w:ascii="Arial" w:hAnsi="Arial" w:cs="Arial"/>
          <w:sz w:val="24"/>
          <w:szCs w:val="24"/>
        </w:rPr>
        <w:t xml:space="preserve">MacColl et al. (2024) </w:t>
      </w:r>
      <w:r w:rsidRPr="00384F02">
        <w:rPr>
          <w:rFonts w:ascii="Arial" w:hAnsi="Arial" w:cs="Arial"/>
          <w:i/>
          <w:iCs/>
          <w:sz w:val="24"/>
          <w:szCs w:val="24"/>
        </w:rPr>
        <w:t>Ransomware: Victim Insights on Harms to Individuals, Organisations and Society.</w:t>
      </w:r>
      <w:r w:rsidRPr="00384F02">
        <w:rPr>
          <w:rFonts w:ascii="Arial" w:hAnsi="Arial" w:cs="Arial"/>
          <w:sz w:val="24"/>
          <w:szCs w:val="24"/>
        </w:rPr>
        <w:t xml:space="preserve"> Available at: </w:t>
      </w:r>
      <w:hyperlink r:id="rId21" w:history="1">
        <w:r w:rsidRPr="00384F02">
          <w:rPr>
            <w:rStyle w:val="Hyperlink"/>
            <w:rFonts w:ascii="Arial" w:hAnsi="Arial" w:cs="Arial"/>
            <w:sz w:val="24"/>
            <w:szCs w:val="24"/>
          </w:rPr>
          <w:t>https://www.rusi.org/explore-our-research/publications/occasional-papers/ransomware-victim-insights-harms-individuals-organisations-and-society</w:t>
        </w:r>
      </w:hyperlink>
      <w:r w:rsidR="00384F02" w:rsidRPr="00384F02">
        <w:rPr>
          <w:rFonts w:ascii="Arial" w:hAnsi="Arial" w:cs="Arial"/>
          <w:sz w:val="24"/>
          <w:szCs w:val="24"/>
        </w:rPr>
        <w:t xml:space="preserve"> (Accessed 20</w:t>
      </w:r>
      <w:r w:rsidR="00384F02" w:rsidRPr="00384F02">
        <w:rPr>
          <w:rFonts w:ascii="Arial" w:hAnsi="Arial" w:cs="Arial"/>
          <w:sz w:val="24"/>
          <w:szCs w:val="24"/>
          <w:vertAlign w:val="superscript"/>
        </w:rPr>
        <w:t>th</w:t>
      </w:r>
      <w:r w:rsidR="00384F02" w:rsidRPr="00384F02">
        <w:rPr>
          <w:rFonts w:ascii="Arial" w:hAnsi="Arial" w:cs="Arial"/>
          <w:sz w:val="24"/>
          <w:szCs w:val="24"/>
        </w:rPr>
        <w:t xml:space="preserve"> August 2025).</w:t>
      </w:r>
    </w:p>
    <w:p w14:paraId="72D68394" w14:textId="5B7D21DD" w:rsidR="00BE1E43" w:rsidRDefault="00BE1E43" w:rsidP="00384F02">
      <w:pPr>
        <w:spacing w:line="480" w:lineRule="auto"/>
        <w:rPr>
          <w:rFonts w:ascii="Arial" w:hAnsi="Arial" w:cs="Arial"/>
          <w:sz w:val="24"/>
          <w:szCs w:val="24"/>
        </w:rPr>
      </w:pPr>
      <w:r w:rsidRPr="0085294C">
        <w:rPr>
          <w:rFonts w:ascii="Arial" w:hAnsi="Arial" w:cs="Arial"/>
          <w:sz w:val="24"/>
          <w:szCs w:val="24"/>
        </w:rPr>
        <w:t>Mona Isazad Mashinchi, Acton, T. and Pratim Milton Datta (2024) ‘When healthcare becomes sick: Recovering from ransomware’, </w:t>
      </w:r>
      <w:r w:rsidRPr="0085294C">
        <w:rPr>
          <w:rFonts w:ascii="Arial" w:hAnsi="Arial" w:cs="Arial"/>
          <w:i/>
          <w:iCs/>
          <w:sz w:val="24"/>
          <w:szCs w:val="24"/>
        </w:rPr>
        <w:t>Journal of Information Technology Teaching Cases</w:t>
      </w:r>
      <w:r w:rsidRPr="0085294C">
        <w:rPr>
          <w:rFonts w:ascii="Arial" w:hAnsi="Arial" w:cs="Arial"/>
          <w:sz w:val="24"/>
          <w:szCs w:val="24"/>
        </w:rPr>
        <w:t xml:space="preserve"> [Preprint]. </w:t>
      </w:r>
      <w:r w:rsidR="00384F02">
        <w:rPr>
          <w:rFonts w:ascii="Arial" w:hAnsi="Arial" w:cs="Arial"/>
          <w:sz w:val="24"/>
          <w:szCs w:val="24"/>
        </w:rPr>
        <w:t>DOI</w:t>
      </w:r>
      <w:r w:rsidRPr="0085294C">
        <w:rPr>
          <w:rFonts w:ascii="Arial" w:hAnsi="Arial" w:cs="Arial"/>
          <w:sz w:val="24"/>
          <w:szCs w:val="24"/>
        </w:rPr>
        <w:t>: https://doi.org/10.1177/20438869241279443.</w:t>
      </w:r>
    </w:p>
    <w:p w14:paraId="76F9022F" w14:textId="77777777" w:rsidR="00BE1E43" w:rsidRDefault="00BE1E43" w:rsidP="00384F02">
      <w:pPr>
        <w:spacing w:line="480" w:lineRule="auto"/>
        <w:rPr>
          <w:rFonts w:ascii="Arial" w:hAnsi="Arial" w:cs="Arial"/>
          <w:sz w:val="24"/>
          <w:szCs w:val="24"/>
        </w:rPr>
      </w:pPr>
      <w:r w:rsidRPr="001330D5">
        <w:rPr>
          <w:rFonts w:ascii="Arial" w:hAnsi="Arial" w:cs="Arial"/>
          <w:sz w:val="24"/>
          <w:szCs w:val="24"/>
        </w:rPr>
        <w:t>N</w:t>
      </w:r>
      <w:r>
        <w:rPr>
          <w:rFonts w:ascii="Arial" w:hAnsi="Arial" w:cs="Arial"/>
          <w:sz w:val="24"/>
          <w:szCs w:val="24"/>
        </w:rPr>
        <w:t xml:space="preserve">CSC </w:t>
      </w:r>
      <w:r w:rsidRPr="001330D5">
        <w:rPr>
          <w:rFonts w:ascii="Arial" w:hAnsi="Arial" w:cs="Arial"/>
          <w:sz w:val="24"/>
          <w:szCs w:val="24"/>
        </w:rPr>
        <w:t xml:space="preserve">(2025) </w:t>
      </w:r>
      <w:r w:rsidRPr="00922EE5">
        <w:rPr>
          <w:rFonts w:ascii="Arial" w:hAnsi="Arial" w:cs="Arial"/>
          <w:i/>
          <w:iCs/>
          <w:sz w:val="24"/>
          <w:szCs w:val="24"/>
        </w:rPr>
        <w:t>A Guide to Ransomware</w:t>
      </w:r>
      <w:r>
        <w:rPr>
          <w:rFonts w:ascii="Arial" w:hAnsi="Arial" w:cs="Arial"/>
          <w:sz w:val="24"/>
          <w:szCs w:val="24"/>
        </w:rPr>
        <w:t xml:space="preserve">. </w:t>
      </w:r>
      <w:r w:rsidRPr="001330D5">
        <w:rPr>
          <w:rFonts w:ascii="Arial" w:hAnsi="Arial" w:cs="Arial"/>
          <w:sz w:val="24"/>
          <w:szCs w:val="24"/>
        </w:rPr>
        <w:t xml:space="preserve">Available at: </w:t>
      </w:r>
      <w:hyperlink r:id="rId22" w:history="1">
        <w:r w:rsidRPr="00315540">
          <w:rPr>
            <w:rStyle w:val="Hyperlink"/>
            <w:rFonts w:ascii="Arial" w:hAnsi="Arial" w:cs="Arial"/>
            <w:sz w:val="24"/>
            <w:szCs w:val="24"/>
          </w:rPr>
          <w:t>https://www.ncsc.gov.uk/ransomware/home</w:t>
        </w:r>
      </w:hyperlink>
      <w:r w:rsidRPr="001330D5">
        <w:rPr>
          <w:rFonts w:ascii="Arial" w:hAnsi="Arial" w:cs="Arial"/>
          <w:sz w:val="24"/>
          <w:szCs w:val="24"/>
        </w:rPr>
        <w:t>.</w:t>
      </w:r>
      <w:r>
        <w:rPr>
          <w:rFonts w:ascii="Arial" w:hAnsi="Arial" w:cs="Arial"/>
          <w:sz w:val="24"/>
          <w:szCs w:val="24"/>
        </w:rPr>
        <w:t xml:space="preserve"> (Accessed 26</w:t>
      </w:r>
      <w:r w:rsidRPr="001330D5">
        <w:rPr>
          <w:rFonts w:ascii="Arial" w:hAnsi="Arial" w:cs="Arial"/>
          <w:sz w:val="24"/>
          <w:szCs w:val="24"/>
          <w:vertAlign w:val="superscript"/>
        </w:rPr>
        <w:t>th</w:t>
      </w:r>
      <w:r>
        <w:rPr>
          <w:rFonts w:ascii="Arial" w:hAnsi="Arial" w:cs="Arial"/>
          <w:sz w:val="24"/>
          <w:szCs w:val="24"/>
        </w:rPr>
        <w:t xml:space="preserve"> August 2025).</w:t>
      </w:r>
    </w:p>
    <w:p w14:paraId="49D5BA1D" w14:textId="70EDBD69" w:rsidR="00BE1E43" w:rsidRDefault="00BE1E43" w:rsidP="00384F02">
      <w:pPr>
        <w:spacing w:line="480" w:lineRule="auto"/>
        <w:rPr>
          <w:rFonts w:ascii="Arial" w:hAnsi="Arial" w:cs="Arial"/>
          <w:sz w:val="24"/>
          <w:szCs w:val="24"/>
        </w:rPr>
      </w:pPr>
      <w:r w:rsidRPr="0092448B">
        <w:rPr>
          <w:rFonts w:ascii="Arial" w:hAnsi="Arial" w:cs="Arial"/>
          <w:sz w:val="24"/>
          <w:szCs w:val="24"/>
        </w:rPr>
        <w:t>Pattnaik </w:t>
      </w:r>
      <w:r w:rsidRPr="0092448B">
        <w:rPr>
          <w:rFonts w:ascii="Arial" w:hAnsi="Arial" w:cs="Arial"/>
          <w:i/>
          <w:iCs/>
          <w:sz w:val="24"/>
          <w:szCs w:val="24"/>
        </w:rPr>
        <w:t>et al.</w:t>
      </w:r>
      <w:r w:rsidRPr="0092448B">
        <w:rPr>
          <w:rFonts w:ascii="Arial" w:hAnsi="Arial" w:cs="Arial"/>
          <w:sz w:val="24"/>
          <w:szCs w:val="24"/>
        </w:rPr>
        <w:t> (2023) </w:t>
      </w:r>
      <w:r w:rsidRPr="0092448B">
        <w:rPr>
          <w:rFonts w:ascii="Arial" w:hAnsi="Arial" w:cs="Arial"/>
          <w:i/>
          <w:iCs/>
          <w:sz w:val="24"/>
          <w:szCs w:val="24"/>
        </w:rPr>
        <w:t>Kent Academic Repository Additional information Versions of research works Enquiries It’s more than just money: The real-world harms from ransomware attacks</w:t>
      </w:r>
      <w:r w:rsidRPr="0092448B">
        <w:rPr>
          <w:rFonts w:ascii="Arial" w:hAnsi="Arial" w:cs="Arial"/>
          <w:sz w:val="24"/>
          <w:szCs w:val="24"/>
        </w:rPr>
        <w:t xml:space="preserve">. Available at: </w:t>
      </w:r>
      <w:hyperlink r:id="rId23" w:history="1">
        <w:r w:rsidRPr="0092448B">
          <w:rPr>
            <w:rStyle w:val="Hyperlink"/>
            <w:rFonts w:ascii="Arial" w:hAnsi="Arial" w:cs="Arial"/>
            <w:sz w:val="24"/>
            <w:szCs w:val="24"/>
          </w:rPr>
          <w:t>https://kar.kent.ac.uk/101600/1/HAISA-2023-Ransomware-harms.pdf</w:t>
        </w:r>
      </w:hyperlink>
      <w:r w:rsidRPr="0092448B">
        <w:rPr>
          <w:rFonts w:ascii="Arial" w:hAnsi="Arial" w:cs="Arial"/>
          <w:sz w:val="24"/>
          <w:szCs w:val="24"/>
        </w:rPr>
        <w:t>.</w:t>
      </w:r>
      <w:r w:rsidR="00384F02">
        <w:rPr>
          <w:rFonts w:ascii="Arial" w:hAnsi="Arial" w:cs="Arial"/>
          <w:sz w:val="24"/>
          <w:szCs w:val="24"/>
        </w:rPr>
        <w:t xml:space="preserve"> (Accessed  01</w:t>
      </w:r>
      <w:r w:rsidR="00384F02" w:rsidRPr="00384F02">
        <w:rPr>
          <w:rFonts w:ascii="Arial" w:hAnsi="Arial" w:cs="Arial"/>
          <w:sz w:val="24"/>
          <w:szCs w:val="24"/>
          <w:vertAlign w:val="superscript"/>
        </w:rPr>
        <w:t>st</w:t>
      </w:r>
      <w:r w:rsidR="00384F02">
        <w:rPr>
          <w:rFonts w:ascii="Arial" w:hAnsi="Arial" w:cs="Arial"/>
          <w:sz w:val="24"/>
          <w:szCs w:val="24"/>
        </w:rPr>
        <w:t xml:space="preserve"> September 2025).</w:t>
      </w:r>
    </w:p>
    <w:p w14:paraId="2751B9E3" w14:textId="76314B88" w:rsidR="00BE1E43" w:rsidRPr="001330D5" w:rsidRDefault="00BE1E43" w:rsidP="00384F02">
      <w:pPr>
        <w:spacing w:line="480" w:lineRule="auto"/>
        <w:rPr>
          <w:rFonts w:ascii="Arial" w:hAnsi="Arial" w:cs="Arial"/>
          <w:sz w:val="24"/>
          <w:szCs w:val="24"/>
        </w:rPr>
      </w:pPr>
      <w:r w:rsidRPr="0085294C">
        <w:rPr>
          <w:rFonts w:ascii="Arial" w:hAnsi="Arial" w:cs="Arial"/>
          <w:sz w:val="24"/>
          <w:szCs w:val="24"/>
        </w:rPr>
        <w:t>Sollof, J. (2025) </w:t>
      </w:r>
      <w:r w:rsidRPr="0085294C">
        <w:rPr>
          <w:rFonts w:ascii="Arial" w:hAnsi="Arial" w:cs="Arial"/>
          <w:i/>
          <w:iCs/>
          <w:sz w:val="24"/>
          <w:szCs w:val="24"/>
        </w:rPr>
        <w:t>Cyber attack cost Synnovis estimated £32.7m in 2024</w:t>
      </w:r>
      <w:r w:rsidRPr="0085294C">
        <w:rPr>
          <w:rFonts w:ascii="Arial" w:hAnsi="Arial" w:cs="Arial"/>
          <w:sz w:val="24"/>
          <w:szCs w:val="24"/>
        </w:rPr>
        <w:t>, </w:t>
      </w:r>
      <w:r w:rsidRPr="0085294C">
        <w:rPr>
          <w:rFonts w:ascii="Arial" w:hAnsi="Arial" w:cs="Arial"/>
          <w:i/>
          <w:iCs/>
          <w:sz w:val="24"/>
          <w:szCs w:val="24"/>
        </w:rPr>
        <w:t>Digital Health</w:t>
      </w:r>
      <w:r w:rsidRPr="0085294C">
        <w:rPr>
          <w:rFonts w:ascii="Arial" w:hAnsi="Arial" w:cs="Arial"/>
          <w:sz w:val="24"/>
          <w:szCs w:val="24"/>
        </w:rPr>
        <w:t xml:space="preserve">. Available at: </w:t>
      </w:r>
      <w:hyperlink r:id="rId24" w:history="1">
        <w:r w:rsidR="00384F02" w:rsidRPr="00904686">
          <w:rPr>
            <w:rStyle w:val="Hyperlink"/>
            <w:rFonts w:ascii="Arial" w:hAnsi="Arial" w:cs="Arial"/>
            <w:sz w:val="24"/>
            <w:szCs w:val="24"/>
          </w:rPr>
          <w:t>https://www.digitalhealth.net/2025/01/cyber-attack-cost-synnovis-estimated-32-7m-in-2024/</w:t>
        </w:r>
      </w:hyperlink>
      <w:r w:rsidRPr="0085294C">
        <w:rPr>
          <w:rFonts w:ascii="Arial" w:hAnsi="Arial" w:cs="Arial"/>
          <w:sz w:val="24"/>
          <w:szCs w:val="24"/>
        </w:rPr>
        <w:t>.</w:t>
      </w:r>
      <w:r w:rsidR="00384F02">
        <w:rPr>
          <w:rFonts w:ascii="Arial" w:hAnsi="Arial" w:cs="Arial"/>
          <w:sz w:val="24"/>
          <w:szCs w:val="24"/>
        </w:rPr>
        <w:t xml:space="preserve"> (Accessed 05</w:t>
      </w:r>
      <w:r w:rsidR="00384F02" w:rsidRPr="00384F02">
        <w:rPr>
          <w:rFonts w:ascii="Arial" w:hAnsi="Arial" w:cs="Arial"/>
          <w:sz w:val="24"/>
          <w:szCs w:val="24"/>
          <w:vertAlign w:val="superscript"/>
        </w:rPr>
        <w:t>th</w:t>
      </w:r>
      <w:r w:rsidR="00384F02">
        <w:rPr>
          <w:rFonts w:ascii="Arial" w:hAnsi="Arial" w:cs="Arial"/>
          <w:sz w:val="24"/>
          <w:szCs w:val="24"/>
        </w:rPr>
        <w:t xml:space="preserve"> September 2025).</w:t>
      </w:r>
    </w:p>
    <w:p w14:paraId="2820B38F" w14:textId="12078186" w:rsidR="00BE1E43" w:rsidRDefault="00BE1E43" w:rsidP="00384F02">
      <w:pPr>
        <w:pStyle w:val="NormalWeb"/>
        <w:spacing w:line="480" w:lineRule="auto"/>
        <w:rPr>
          <w:rFonts w:ascii="Arial" w:hAnsi="Arial" w:cs="Arial"/>
          <w:color w:val="000000"/>
        </w:rPr>
      </w:pPr>
      <w:r w:rsidRPr="0092448B">
        <w:rPr>
          <w:rFonts w:ascii="Arial" w:hAnsi="Arial" w:cs="Arial"/>
          <w:color w:val="000000"/>
        </w:rPr>
        <w:t>Tucker, T. (2025) </w:t>
      </w:r>
      <w:r w:rsidRPr="0092448B">
        <w:rPr>
          <w:rFonts w:ascii="Arial" w:hAnsi="Arial" w:cs="Arial"/>
          <w:i/>
          <w:iCs/>
          <w:color w:val="000000"/>
        </w:rPr>
        <w:t>Interpreting Maturity with the 2025 State of Cyber Risk Management Report</w:t>
      </w:r>
      <w:r w:rsidRPr="0092448B">
        <w:rPr>
          <w:rFonts w:ascii="Arial" w:hAnsi="Arial" w:cs="Arial"/>
          <w:color w:val="000000"/>
        </w:rPr>
        <w:t>, </w:t>
      </w:r>
      <w:r w:rsidRPr="0092448B">
        <w:rPr>
          <w:rFonts w:ascii="Arial" w:hAnsi="Arial" w:cs="Arial"/>
          <w:i/>
          <w:iCs/>
          <w:color w:val="000000"/>
        </w:rPr>
        <w:t>Fairinstitute.org</w:t>
      </w:r>
      <w:r w:rsidRPr="0092448B">
        <w:rPr>
          <w:rFonts w:ascii="Arial" w:hAnsi="Arial" w:cs="Arial"/>
          <w:color w:val="000000"/>
        </w:rPr>
        <w:t xml:space="preserve">. Available at: https://www.fairinstitute.org/blog/interpreting-maturity-2025-state-of-cyber-risk-management-report (Accessed </w:t>
      </w:r>
      <w:r w:rsidR="00384F02">
        <w:rPr>
          <w:rFonts w:ascii="Arial" w:hAnsi="Arial" w:cs="Arial"/>
          <w:color w:val="000000"/>
        </w:rPr>
        <w:t>09th</w:t>
      </w:r>
      <w:r w:rsidRPr="0092448B">
        <w:rPr>
          <w:rFonts w:ascii="Arial" w:hAnsi="Arial" w:cs="Arial"/>
          <w:color w:val="000000"/>
        </w:rPr>
        <w:t xml:space="preserve"> September 2025).</w:t>
      </w:r>
    </w:p>
    <w:p w14:paraId="09953517" w14:textId="29CE5D73" w:rsidR="00BE1E43" w:rsidRPr="00C26BB4" w:rsidRDefault="00BE1E43" w:rsidP="00384F02">
      <w:pPr>
        <w:pStyle w:val="NormalWeb"/>
        <w:spacing w:line="480" w:lineRule="auto"/>
        <w:rPr>
          <w:rFonts w:ascii="Arial" w:hAnsi="Arial" w:cs="Arial"/>
          <w:color w:val="000000"/>
        </w:rPr>
      </w:pPr>
      <w:r w:rsidRPr="00C26BB4">
        <w:rPr>
          <w:rFonts w:ascii="Arial" w:hAnsi="Arial" w:cs="Arial"/>
          <w:color w:val="000000"/>
        </w:rPr>
        <w:lastRenderedPageBreak/>
        <w:t>Yaacoub, J.-P.A. </w:t>
      </w:r>
      <w:r w:rsidRPr="00C26BB4">
        <w:rPr>
          <w:rFonts w:ascii="Arial" w:hAnsi="Arial" w:cs="Arial"/>
          <w:i/>
          <w:iCs/>
          <w:color w:val="000000"/>
        </w:rPr>
        <w:t>et al.</w:t>
      </w:r>
      <w:r w:rsidRPr="00C26BB4">
        <w:rPr>
          <w:rFonts w:ascii="Arial" w:hAnsi="Arial" w:cs="Arial"/>
          <w:color w:val="000000"/>
        </w:rPr>
        <w:t> (2020) ‘Securing internet of medical things systems: Limitations, issues and recommendations’, </w:t>
      </w:r>
      <w:r w:rsidRPr="00C26BB4">
        <w:rPr>
          <w:rFonts w:ascii="Arial" w:hAnsi="Arial" w:cs="Arial"/>
          <w:i/>
          <w:iCs/>
          <w:color w:val="000000"/>
        </w:rPr>
        <w:t>Future Generation Computer Systems</w:t>
      </w:r>
      <w:r w:rsidRPr="00C26BB4">
        <w:rPr>
          <w:rFonts w:ascii="Arial" w:hAnsi="Arial" w:cs="Arial"/>
          <w:color w:val="000000"/>
        </w:rPr>
        <w:t xml:space="preserve">, 105, pp. 581–606. </w:t>
      </w:r>
      <w:r w:rsidR="00384F02">
        <w:rPr>
          <w:rFonts w:ascii="Arial" w:hAnsi="Arial" w:cs="Arial"/>
          <w:color w:val="000000"/>
        </w:rPr>
        <w:t>DOI</w:t>
      </w:r>
      <w:r w:rsidRPr="00C26BB4">
        <w:rPr>
          <w:rFonts w:ascii="Arial" w:hAnsi="Arial" w:cs="Arial"/>
          <w:color w:val="000000"/>
        </w:rPr>
        <w:t xml:space="preserve">: </w:t>
      </w:r>
      <w:hyperlink r:id="rId25" w:history="1">
        <w:r w:rsidR="00C05A83" w:rsidRPr="00904686">
          <w:rPr>
            <w:rStyle w:val="Hyperlink"/>
            <w:rFonts w:ascii="Arial" w:hAnsi="Arial" w:cs="Arial"/>
          </w:rPr>
          <w:t>https://doi.org/10.1016/j.future.2019.12.028</w:t>
        </w:r>
      </w:hyperlink>
      <w:r w:rsidR="00C05A83">
        <w:rPr>
          <w:rFonts w:ascii="Arial" w:hAnsi="Arial" w:cs="Arial"/>
          <w:color w:val="000000"/>
        </w:rPr>
        <w:t xml:space="preserve"> </w:t>
      </w:r>
    </w:p>
    <w:p w14:paraId="52AC580C" w14:textId="4D7E89F8" w:rsidR="00BE1E43" w:rsidRPr="00BE1E43" w:rsidRDefault="00BE1E43" w:rsidP="00BE1E43">
      <w:pPr>
        <w:pStyle w:val="NormalWeb"/>
        <w:spacing w:before="0" w:beforeAutospacing="0" w:after="0" w:afterAutospacing="0" w:line="480" w:lineRule="auto"/>
        <w:jc w:val="both"/>
        <w:rPr>
          <w:rFonts w:ascii="Arial" w:hAnsi="Arial" w:cs="Arial"/>
          <w:color w:val="000000"/>
        </w:rPr>
      </w:pPr>
    </w:p>
    <w:p w14:paraId="38BA991B" w14:textId="77777777" w:rsidR="00BE1E43" w:rsidRPr="0093180E" w:rsidRDefault="00BE1E43" w:rsidP="00BE1E43">
      <w:pPr>
        <w:spacing w:line="480" w:lineRule="auto"/>
        <w:rPr>
          <w:rFonts w:ascii="Arial" w:hAnsi="Arial" w:cs="Arial"/>
          <w:sz w:val="24"/>
          <w:szCs w:val="24"/>
        </w:rPr>
      </w:pPr>
    </w:p>
    <w:p w14:paraId="699064FE" w14:textId="77777777" w:rsidR="00BE1E43" w:rsidRDefault="00BE1E43" w:rsidP="00BE1E43"/>
    <w:p w14:paraId="7D542776" w14:textId="77777777" w:rsidR="006111FF" w:rsidRPr="0093180E" w:rsidRDefault="006111FF" w:rsidP="005A64BB">
      <w:pPr>
        <w:spacing w:line="480" w:lineRule="auto"/>
        <w:rPr>
          <w:rFonts w:ascii="Arial" w:hAnsi="Arial" w:cs="Arial"/>
          <w:sz w:val="24"/>
          <w:szCs w:val="24"/>
        </w:rPr>
      </w:pPr>
    </w:p>
    <w:sectPr w:rsidR="006111FF" w:rsidRPr="0093180E">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C25AF" w14:textId="77777777" w:rsidR="00B9381E" w:rsidRDefault="00B9381E" w:rsidP="004B0A96">
      <w:pPr>
        <w:spacing w:after="0" w:line="240" w:lineRule="auto"/>
      </w:pPr>
      <w:r>
        <w:separator/>
      </w:r>
    </w:p>
  </w:endnote>
  <w:endnote w:type="continuationSeparator" w:id="0">
    <w:p w14:paraId="37E15647" w14:textId="77777777" w:rsidR="00B9381E" w:rsidRDefault="00B9381E" w:rsidP="004B0A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37221"/>
      <w:docPartObj>
        <w:docPartGallery w:val="Page Numbers (Bottom of Page)"/>
        <w:docPartUnique/>
      </w:docPartObj>
    </w:sdtPr>
    <w:sdtContent>
      <w:p w14:paraId="1D1CB348" w14:textId="3C419DCF" w:rsidR="004B0A96" w:rsidRDefault="004B0A96">
        <w:pPr>
          <w:pStyle w:val="Footer"/>
          <w:jc w:val="center"/>
        </w:pPr>
        <w:r>
          <w:fldChar w:fldCharType="begin"/>
        </w:r>
        <w:r>
          <w:instrText>PAGE   \* MERGEFORMAT</w:instrText>
        </w:r>
        <w:r>
          <w:fldChar w:fldCharType="separate"/>
        </w:r>
        <w:r>
          <w:t>2</w:t>
        </w:r>
        <w:r>
          <w:fldChar w:fldCharType="end"/>
        </w:r>
      </w:p>
    </w:sdtContent>
  </w:sdt>
  <w:p w14:paraId="5C5EBC09" w14:textId="77777777" w:rsidR="004B0A96" w:rsidRDefault="004B0A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767B5" w14:textId="77777777" w:rsidR="00B9381E" w:rsidRDefault="00B9381E" w:rsidP="004B0A96">
      <w:pPr>
        <w:spacing w:after="0" w:line="240" w:lineRule="auto"/>
      </w:pPr>
      <w:r>
        <w:separator/>
      </w:r>
    </w:p>
  </w:footnote>
  <w:footnote w:type="continuationSeparator" w:id="0">
    <w:p w14:paraId="2157BB10" w14:textId="77777777" w:rsidR="00B9381E" w:rsidRDefault="00B9381E" w:rsidP="004B0A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C483B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0F59A6"/>
    <w:multiLevelType w:val="hybridMultilevel"/>
    <w:tmpl w:val="A894A4FE"/>
    <w:lvl w:ilvl="0" w:tplc="F8A8D42E">
      <w:start w:val="1"/>
      <w:numFmt w:val="upperRoman"/>
      <w:lvlText w:val="%1."/>
      <w:lvlJc w:val="left"/>
      <w:pPr>
        <w:ind w:left="720" w:hanging="72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F215CBD"/>
    <w:multiLevelType w:val="hybridMultilevel"/>
    <w:tmpl w:val="7CBA5482"/>
    <w:lvl w:ilvl="0" w:tplc="9D148A98">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9350C80"/>
    <w:multiLevelType w:val="hybridMultilevel"/>
    <w:tmpl w:val="776E49F6"/>
    <w:lvl w:ilvl="0" w:tplc="72CA232A">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9E006F4"/>
    <w:multiLevelType w:val="hybridMultilevel"/>
    <w:tmpl w:val="F6801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47285081">
    <w:abstractNumId w:val="0"/>
  </w:num>
  <w:num w:numId="2" w16cid:durableId="16582477">
    <w:abstractNumId w:val="2"/>
  </w:num>
  <w:num w:numId="3" w16cid:durableId="1216156997">
    <w:abstractNumId w:val="3"/>
  </w:num>
  <w:num w:numId="4" w16cid:durableId="280573187">
    <w:abstractNumId w:val="1"/>
  </w:num>
  <w:num w:numId="5" w16cid:durableId="8292486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526"/>
    <w:rsid w:val="000011A8"/>
    <w:rsid w:val="00010382"/>
    <w:rsid w:val="000173A5"/>
    <w:rsid w:val="00023038"/>
    <w:rsid w:val="00025532"/>
    <w:rsid w:val="00033618"/>
    <w:rsid w:val="000345A9"/>
    <w:rsid w:val="00043F61"/>
    <w:rsid w:val="00046CEA"/>
    <w:rsid w:val="00047A12"/>
    <w:rsid w:val="000529BC"/>
    <w:rsid w:val="0006613E"/>
    <w:rsid w:val="00073B17"/>
    <w:rsid w:val="0008084B"/>
    <w:rsid w:val="00084BDE"/>
    <w:rsid w:val="000907F0"/>
    <w:rsid w:val="00090898"/>
    <w:rsid w:val="000A19C2"/>
    <w:rsid w:val="000A1AB6"/>
    <w:rsid w:val="000A25CF"/>
    <w:rsid w:val="000A6840"/>
    <w:rsid w:val="000B602D"/>
    <w:rsid w:val="000D1310"/>
    <w:rsid w:val="000E107B"/>
    <w:rsid w:val="000E273A"/>
    <w:rsid w:val="00103C65"/>
    <w:rsid w:val="00106560"/>
    <w:rsid w:val="00107D03"/>
    <w:rsid w:val="00120BB8"/>
    <w:rsid w:val="00122A95"/>
    <w:rsid w:val="00124B3E"/>
    <w:rsid w:val="00126DB5"/>
    <w:rsid w:val="001330D5"/>
    <w:rsid w:val="00134970"/>
    <w:rsid w:val="00141EF3"/>
    <w:rsid w:val="00155BAA"/>
    <w:rsid w:val="0016453A"/>
    <w:rsid w:val="001740BB"/>
    <w:rsid w:val="001767FD"/>
    <w:rsid w:val="00181072"/>
    <w:rsid w:val="00184C5E"/>
    <w:rsid w:val="00192632"/>
    <w:rsid w:val="0019560A"/>
    <w:rsid w:val="001A0BF0"/>
    <w:rsid w:val="001A246A"/>
    <w:rsid w:val="001A4119"/>
    <w:rsid w:val="001B5F4D"/>
    <w:rsid w:val="001D1875"/>
    <w:rsid w:val="0020659B"/>
    <w:rsid w:val="002213EF"/>
    <w:rsid w:val="00223A31"/>
    <w:rsid w:val="002364EE"/>
    <w:rsid w:val="00247FF9"/>
    <w:rsid w:val="00251F33"/>
    <w:rsid w:val="00262FCE"/>
    <w:rsid w:val="00271876"/>
    <w:rsid w:val="00276A0B"/>
    <w:rsid w:val="00284E00"/>
    <w:rsid w:val="00286D17"/>
    <w:rsid w:val="00291FF9"/>
    <w:rsid w:val="002A01B9"/>
    <w:rsid w:val="002A1CE7"/>
    <w:rsid w:val="002C1EB4"/>
    <w:rsid w:val="002C48CD"/>
    <w:rsid w:val="002F76A6"/>
    <w:rsid w:val="00310B14"/>
    <w:rsid w:val="00312E9A"/>
    <w:rsid w:val="00313510"/>
    <w:rsid w:val="00322BCE"/>
    <w:rsid w:val="00324778"/>
    <w:rsid w:val="00326F65"/>
    <w:rsid w:val="003410D7"/>
    <w:rsid w:val="00341FE1"/>
    <w:rsid w:val="003456D4"/>
    <w:rsid w:val="003652B6"/>
    <w:rsid w:val="003708A4"/>
    <w:rsid w:val="00372FE4"/>
    <w:rsid w:val="00380C36"/>
    <w:rsid w:val="00383AC6"/>
    <w:rsid w:val="00384F02"/>
    <w:rsid w:val="003919D9"/>
    <w:rsid w:val="00392E56"/>
    <w:rsid w:val="003930D3"/>
    <w:rsid w:val="0039774D"/>
    <w:rsid w:val="003A77A3"/>
    <w:rsid w:val="003B0F93"/>
    <w:rsid w:val="003B1D4D"/>
    <w:rsid w:val="003B3227"/>
    <w:rsid w:val="003B4467"/>
    <w:rsid w:val="003E2138"/>
    <w:rsid w:val="003E5BEE"/>
    <w:rsid w:val="003E71CD"/>
    <w:rsid w:val="003F2995"/>
    <w:rsid w:val="003F4249"/>
    <w:rsid w:val="003F6685"/>
    <w:rsid w:val="003F7CEB"/>
    <w:rsid w:val="003F7FE1"/>
    <w:rsid w:val="0040462E"/>
    <w:rsid w:val="00410183"/>
    <w:rsid w:val="00411D86"/>
    <w:rsid w:val="00431C5D"/>
    <w:rsid w:val="00437C92"/>
    <w:rsid w:val="004551AD"/>
    <w:rsid w:val="00463602"/>
    <w:rsid w:val="00464353"/>
    <w:rsid w:val="00464E46"/>
    <w:rsid w:val="00467C89"/>
    <w:rsid w:val="00467E5B"/>
    <w:rsid w:val="00471B8D"/>
    <w:rsid w:val="0047262F"/>
    <w:rsid w:val="00484D2D"/>
    <w:rsid w:val="00492192"/>
    <w:rsid w:val="004944A4"/>
    <w:rsid w:val="004A1406"/>
    <w:rsid w:val="004B0A96"/>
    <w:rsid w:val="004C23CF"/>
    <w:rsid w:val="004C28E1"/>
    <w:rsid w:val="004C350A"/>
    <w:rsid w:val="004C6516"/>
    <w:rsid w:val="004D35E5"/>
    <w:rsid w:val="004E1C3E"/>
    <w:rsid w:val="004E7D13"/>
    <w:rsid w:val="0051598E"/>
    <w:rsid w:val="00517024"/>
    <w:rsid w:val="00524AB9"/>
    <w:rsid w:val="00525EAE"/>
    <w:rsid w:val="005308CC"/>
    <w:rsid w:val="0054397C"/>
    <w:rsid w:val="00543EB4"/>
    <w:rsid w:val="005469AB"/>
    <w:rsid w:val="005561BE"/>
    <w:rsid w:val="0056044F"/>
    <w:rsid w:val="005800B4"/>
    <w:rsid w:val="00586A6D"/>
    <w:rsid w:val="00592162"/>
    <w:rsid w:val="005A2FA1"/>
    <w:rsid w:val="005A64BB"/>
    <w:rsid w:val="005A7786"/>
    <w:rsid w:val="005B1007"/>
    <w:rsid w:val="005C218F"/>
    <w:rsid w:val="005C605D"/>
    <w:rsid w:val="005D0BDF"/>
    <w:rsid w:val="005D5CDA"/>
    <w:rsid w:val="005D6AB0"/>
    <w:rsid w:val="005E74B4"/>
    <w:rsid w:val="005F19B8"/>
    <w:rsid w:val="005F2F61"/>
    <w:rsid w:val="006022BF"/>
    <w:rsid w:val="006111FF"/>
    <w:rsid w:val="006179FF"/>
    <w:rsid w:val="00625AEE"/>
    <w:rsid w:val="00631D51"/>
    <w:rsid w:val="00642C20"/>
    <w:rsid w:val="006475DD"/>
    <w:rsid w:val="00656141"/>
    <w:rsid w:val="00657863"/>
    <w:rsid w:val="00666526"/>
    <w:rsid w:val="00667CF4"/>
    <w:rsid w:val="00676FEB"/>
    <w:rsid w:val="0069424F"/>
    <w:rsid w:val="006A1C3C"/>
    <w:rsid w:val="006C0053"/>
    <w:rsid w:val="006D1325"/>
    <w:rsid w:val="006D1A40"/>
    <w:rsid w:val="006E71EE"/>
    <w:rsid w:val="006F5537"/>
    <w:rsid w:val="00711930"/>
    <w:rsid w:val="007128C5"/>
    <w:rsid w:val="007143E9"/>
    <w:rsid w:val="00731005"/>
    <w:rsid w:val="00736ED9"/>
    <w:rsid w:val="00740694"/>
    <w:rsid w:val="007445F0"/>
    <w:rsid w:val="007445F7"/>
    <w:rsid w:val="007465D2"/>
    <w:rsid w:val="00752879"/>
    <w:rsid w:val="00763A03"/>
    <w:rsid w:val="007640DB"/>
    <w:rsid w:val="00764ED2"/>
    <w:rsid w:val="0077475D"/>
    <w:rsid w:val="00774E09"/>
    <w:rsid w:val="0077793D"/>
    <w:rsid w:val="00780D70"/>
    <w:rsid w:val="00781688"/>
    <w:rsid w:val="00790E2C"/>
    <w:rsid w:val="007A2BC6"/>
    <w:rsid w:val="007B0AD0"/>
    <w:rsid w:val="007C2F34"/>
    <w:rsid w:val="007D4951"/>
    <w:rsid w:val="007E64E7"/>
    <w:rsid w:val="007E6F1B"/>
    <w:rsid w:val="007F37DB"/>
    <w:rsid w:val="007F5886"/>
    <w:rsid w:val="007F79CC"/>
    <w:rsid w:val="008216E5"/>
    <w:rsid w:val="00821BDE"/>
    <w:rsid w:val="0084289A"/>
    <w:rsid w:val="008572CD"/>
    <w:rsid w:val="008649FF"/>
    <w:rsid w:val="00864E32"/>
    <w:rsid w:val="0086727F"/>
    <w:rsid w:val="008700F5"/>
    <w:rsid w:val="008728F8"/>
    <w:rsid w:val="00873476"/>
    <w:rsid w:val="008754B4"/>
    <w:rsid w:val="00877832"/>
    <w:rsid w:val="00881BA1"/>
    <w:rsid w:val="0089367C"/>
    <w:rsid w:val="00894C7E"/>
    <w:rsid w:val="008A1393"/>
    <w:rsid w:val="008B0EF4"/>
    <w:rsid w:val="008B3930"/>
    <w:rsid w:val="008B72AC"/>
    <w:rsid w:val="008C3908"/>
    <w:rsid w:val="008D7B7C"/>
    <w:rsid w:val="008E07DB"/>
    <w:rsid w:val="008F3B86"/>
    <w:rsid w:val="008F5A3B"/>
    <w:rsid w:val="00902525"/>
    <w:rsid w:val="009043F6"/>
    <w:rsid w:val="009058E7"/>
    <w:rsid w:val="00913B73"/>
    <w:rsid w:val="00913E3A"/>
    <w:rsid w:val="00915299"/>
    <w:rsid w:val="00917A3E"/>
    <w:rsid w:val="0092337F"/>
    <w:rsid w:val="0093180E"/>
    <w:rsid w:val="00936387"/>
    <w:rsid w:val="00937DD0"/>
    <w:rsid w:val="00945E3E"/>
    <w:rsid w:val="00946A6C"/>
    <w:rsid w:val="0095104D"/>
    <w:rsid w:val="00956780"/>
    <w:rsid w:val="00967CF7"/>
    <w:rsid w:val="0097489F"/>
    <w:rsid w:val="00977DEE"/>
    <w:rsid w:val="00980075"/>
    <w:rsid w:val="0098794C"/>
    <w:rsid w:val="00990EF9"/>
    <w:rsid w:val="009B0204"/>
    <w:rsid w:val="009B4E4B"/>
    <w:rsid w:val="009C199A"/>
    <w:rsid w:val="009D0C25"/>
    <w:rsid w:val="009D6CFD"/>
    <w:rsid w:val="009E5E87"/>
    <w:rsid w:val="009F4F6F"/>
    <w:rsid w:val="00A0531D"/>
    <w:rsid w:val="00A05FC7"/>
    <w:rsid w:val="00A06933"/>
    <w:rsid w:val="00A202DF"/>
    <w:rsid w:val="00A26B73"/>
    <w:rsid w:val="00A318B0"/>
    <w:rsid w:val="00A322B7"/>
    <w:rsid w:val="00A37486"/>
    <w:rsid w:val="00A44261"/>
    <w:rsid w:val="00A54C4B"/>
    <w:rsid w:val="00A770C3"/>
    <w:rsid w:val="00AA1038"/>
    <w:rsid w:val="00AA3DF6"/>
    <w:rsid w:val="00AA68B8"/>
    <w:rsid w:val="00AB3CDA"/>
    <w:rsid w:val="00AB488A"/>
    <w:rsid w:val="00AB48E4"/>
    <w:rsid w:val="00AB4C2E"/>
    <w:rsid w:val="00AB5FA5"/>
    <w:rsid w:val="00AC65CF"/>
    <w:rsid w:val="00AD0AE0"/>
    <w:rsid w:val="00AD3819"/>
    <w:rsid w:val="00AD62E1"/>
    <w:rsid w:val="00AE57A8"/>
    <w:rsid w:val="00B05983"/>
    <w:rsid w:val="00B108EB"/>
    <w:rsid w:val="00B174CD"/>
    <w:rsid w:val="00B46448"/>
    <w:rsid w:val="00B4745D"/>
    <w:rsid w:val="00B67DDB"/>
    <w:rsid w:val="00B67EC5"/>
    <w:rsid w:val="00B741AD"/>
    <w:rsid w:val="00B81EAE"/>
    <w:rsid w:val="00B826BE"/>
    <w:rsid w:val="00B9381E"/>
    <w:rsid w:val="00B965F4"/>
    <w:rsid w:val="00BB3625"/>
    <w:rsid w:val="00BB481B"/>
    <w:rsid w:val="00BB7F26"/>
    <w:rsid w:val="00BC449D"/>
    <w:rsid w:val="00BD7D75"/>
    <w:rsid w:val="00BE1197"/>
    <w:rsid w:val="00BE1E43"/>
    <w:rsid w:val="00BE20DE"/>
    <w:rsid w:val="00BE53FD"/>
    <w:rsid w:val="00C03A97"/>
    <w:rsid w:val="00C04316"/>
    <w:rsid w:val="00C04407"/>
    <w:rsid w:val="00C053E8"/>
    <w:rsid w:val="00C05A83"/>
    <w:rsid w:val="00C15CF8"/>
    <w:rsid w:val="00C21D3A"/>
    <w:rsid w:val="00C24528"/>
    <w:rsid w:val="00C267FC"/>
    <w:rsid w:val="00C26BB4"/>
    <w:rsid w:val="00C275BD"/>
    <w:rsid w:val="00C27658"/>
    <w:rsid w:val="00C42237"/>
    <w:rsid w:val="00C4256D"/>
    <w:rsid w:val="00C47ACF"/>
    <w:rsid w:val="00C61031"/>
    <w:rsid w:val="00C76C70"/>
    <w:rsid w:val="00C82AF6"/>
    <w:rsid w:val="00C83B9C"/>
    <w:rsid w:val="00C8505C"/>
    <w:rsid w:val="00CB4B10"/>
    <w:rsid w:val="00CB57D7"/>
    <w:rsid w:val="00CB797A"/>
    <w:rsid w:val="00CC1E36"/>
    <w:rsid w:val="00CC7C39"/>
    <w:rsid w:val="00CF4F20"/>
    <w:rsid w:val="00CF546C"/>
    <w:rsid w:val="00D23A6D"/>
    <w:rsid w:val="00D30CB5"/>
    <w:rsid w:val="00D31E6A"/>
    <w:rsid w:val="00D3240D"/>
    <w:rsid w:val="00D32A85"/>
    <w:rsid w:val="00D418B4"/>
    <w:rsid w:val="00D4435D"/>
    <w:rsid w:val="00D50B56"/>
    <w:rsid w:val="00D61E6E"/>
    <w:rsid w:val="00D629C2"/>
    <w:rsid w:val="00D93E84"/>
    <w:rsid w:val="00D95C1F"/>
    <w:rsid w:val="00DB0E1A"/>
    <w:rsid w:val="00DB18F3"/>
    <w:rsid w:val="00DB278B"/>
    <w:rsid w:val="00DB2CE5"/>
    <w:rsid w:val="00DC2E62"/>
    <w:rsid w:val="00DE00CE"/>
    <w:rsid w:val="00DE2083"/>
    <w:rsid w:val="00DE3BED"/>
    <w:rsid w:val="00E02499"/>
    <w:rsid w:val="00E02DC9"/>
    <w:rsid w:val="00E040B8"/>
    <w:rsid w:val="00E20A49"/>
    <w:rsid w:val="00E25E42"/>
    <w:rsid w:val="00E2797B"/>
    <w:rsid w:val="00E310B3"/>
    <w:rsid w:val="00E373DC"/>
    <w:rsid w:val="00E57C8F"/>
    <w:rsid w:val="00E619B9"/>
    <w:rsid w:val="00E66F77"/>
    <w:rsid w:val="00E715FA"/>
    <w:rsid w:val="00E7270B"/>
    <w:rsid w:val="00E75EF8"/>
    <w:rsid w:val="00EA3A0B"/>
    <w:rsid w:val="00EB23A1"/>
    <w:rsid w:val="00EB3257"/>
    <w:rsid w:val="00ED1EAF"/>
    <w:rsid w:val="00ED3E5D"/>
    <w:rsid w:val="00ED5BE9"/>
    <w:rsid w:val="00EE080F"/>
    <w:rsid w:val="00EE2357"/>
    <w:rsid w:val="00EE3F92"/>
    <w:rsid w:val="00EE4F02"/>
    <w:rsid w:val="00F0356E"/>
    <w:rsid w:val="00F16B75"/>
    <w:rsid w:val="00F3072E"/>
    <w:rsid w:val="00F32F01"/>
    <w:rsid w:val="00F4230C"/>
    <w:rsid w:val="00F457A2"/>
    <w:rsid w:val="00F531A0"/>
    <w:rsid w:val="00F55708"/>
    <w:rsid w:val="00F56992"/>
    <w:rsid w:val="00F57D34"/>
    <w:rsid w:val="00F742F8"/>
    <w:rsid w:val="00F84551"/>
    <w:rsid w:val="00F84A76"/>
    <w:rsid w:val="00FA2818"/>
    <w:rsid w:val="00FB1645"/>
    <w:rsid w:val="00FB6CA1"/>
    <w:rsid w:val="00FE4D61"/>
    <w:rsid w:val="00FE608C"/>
    <w:rsid w:val="00FE60A0"/>
    <w:rsid w:val="00FF5297"/>
    <w:rsid w:val="00FF62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9C7B0F"/>
  <w15:chartTrackingRefBased/>
  <w15:docId w15:val="{850BC7B8-65DB-4F49-B79C-FABA97449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5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65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65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5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5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5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5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5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65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65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5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5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5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5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5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526"/>
    <w:rPr>
      <w:rFonts w:eastAsiaTheme="majorEastAsia" w:cstheme="majorBidi"/>
      <w:color w:val="272727" w:themeColor="text1" w:themeTint="D8"/>
    </w:rPr>
  </w:style>
  <w:style w:type="paragraph" w:styleId="Title">
    <w:name w:val="Title"/>
    <w:basedOn w:val="Normal"/>
    <w:next w:val="Normal"/>
    <w:link w:val="TitleChar"/>
    <w:uiPriority w:val="10"/>
    <w:qFormat/>
    <w:rsid w:val="006665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5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5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5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526"/>
    <w:pPr>
      <w:spacing w:before="160"/>
      <w:jc w:val="center"/>
    </w:pPr>
    <w:rPr>
      <w:i/>
      <w:iCs/>
      <w:color w:val="404040" w:themeColor="text1" w:themeTint="BF"/>
    </w:rPr>
  </w:style>
  <w:style w:type="character" w:customStyle="1" w:styleId="QuoteChar">
    <w:name w:val="Quote Char"/>
    <w:basedOn w:val="DefaultParagraphFont"/>
    <w:link w:val="Quote"/>
    <w:uiPriority w:val="29"/>
    <w:rsid w:val="00666526"/>
    <w:rPr>
      <w:i/>
      <w:iCs/>
      <w:color w:val="404040" w:themeColor="text1" w:themeTint="BF"/>
    </w:rPr>
  </w:style>
  <w:style w:type="paragraph" w:styleId="ListParagraph">
    <w:name w:val="List Paragraph"/>
    <w:basedOn w:val="Normal"/>
    <w:uiPriority w:val="34"/>
    <w:qFormat/>
    <w:rsid w:val="00666526"/>
    <w:pPr>
      <w:ind w:left="720"/>
      <w:contextualSpacing/>
    </w:pPr>
  </w:style>
  <w:style w:type="character" w:styleId="IntenseEmphasis">
    <w:name w:val="Intense Emphasis"/>
    <w:basedOn w:val="DefaultParagraphFont"/>
    <w:uiPriority w:val="21"/>
    <w:qFormat/>
    <w:rsid w:val="00666526"/>
    <w:rPr>
      <w:i/>
      <w:iCs/>
      <w:color w:val="0F4761" w:themeColor="accent1" w:themeShade="BF"/>
    </w:rPr>
  </w:style>
  <w:style w:type="paragraph" w:styleId="IntenseQuote">
    <w:name w:val="Intense Quote"/>
    <w:basedOn w:val="Normal"/>
    <w:next w:val="Normal"/>
    <w:link w:val="IntenseQuoteChar"/>
    <w:uiPriority w:val="30"/>
    <w:qFormat/>
    <w:rsid w:val="00666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526"/>
    <w:rPr>
      <w:i/>
      <w:iCs/>
      <w:color w:val="0F4761" w:themeColor="accent1" w:themeShade="BF"/>
    </w:rPr>
  </w:style>
  <w:style w:type="character" w:styleId="IntenseReference">
    <w:name w:val="Intense Reference"/>
    <w:basedOn w:val="DefaultParagraphFont"/>
    <w:uiPriority w:val="32"/>
    <w:qFormat/>
    <w:rsid w:val="00666526"/>
    <w:rPr>
      <w:b/>
      <w:bCs/>
      <w:smallCaps/>
      <w:color w:val="0F4761" w:themeColor="accent1" w:themeShade="BF"/>
      <w:spacing w:val="5"/>
    </w:rPr>
  </w:style>
  <w:style w:type="paragraph" w:styleId="ListBullet">
    <w:name w:val="List Bullet"/>
    <w:basedOn w:val="Normal"/>
    <w:uiPriority w:val="99"/>
    <w:unhideWhenUsed/>
    <w:rsid w:val="00666526"/>
    <w:pPr>
      <w:numPr>
        <w:numId w:val="1"/>
      </w:numPr>
      <w:tabs>
        <w:tab w:val="clear" w:pos="360"/>
      </w:tabs>
      <w:spacing w:after="200" w:line="276" w:lineRule="auto"/>
      <w:ind w:left="0" w:firstLine="0"/>
      <w:contextualSpacing/>
    </w:pPr>
    <w:rPr>
      <w:rFonts w:eastAsiaTheme="minorEastAsia"/>
      <w:kern w:val="0"/>
      <w:lang w:val="en-US"/>
      <w14:ligatures w14:val="none"/>
    </w:rPr>
  </w:style>
  <w:style w:type="character" w:styleId="Hyperlink">
    <w:name w:val="Hyperlink"/>
    <w:basedOn w:val="DefaultParagraphFont"/>
    <w:uiPriority w:val="99"/>
    <w:unhideWhenUsed/>
    <w:rsid w:val="00EE3F92"/>
    <w:rPr>
      <w:color w:val="467886" w:themeColor="hyperlink"/>
      <w:u w:val="single"/>
    </w:rPr>
  </w:style>
  <w:style w:type="character" w:styleId="UnresolvedMention">
    <w:name w:val="Unresolved Mention"/>
    <w:basedOn w:val="DefaultParagraphFont"/>
    <w:uiPriority w:val="99"/>
    <w:semiHidden/>
    <w:unhideWhenUsed/>
    <w:rsid w:val="00EE3F92"/>
    <w:rPr>
      <w:color w:val="605E5C"/>
      <w:shd w:val="clear" w:color="auto" w:fill="E1DFDD"/>
    </w:rPr>
  </w:style>
  <w:style w:type="character" w:styleId="FollowedHyperlink">
    <w:name w:val="FollowedHyperlink"/>
    <w:basedOn w:val="DefaultParagraphFont"/>
    <w:uiPriority w:val="99"/>
    <w:semiHidden/>
    <w:unhideWhenUsed/>
    <w:rsid w:val="008572CD"/>
    <w:rPr>
      <w:color w:val="96607D" w:themeColor="followedHyperlink"/>
      <w:u w:val="single"/>
    </w:rPr>
  </w:style>
  <w:style w:type="paragraph" w:styleId="Header">
    <w:name w:val="header"/>
    <w:basedOn w:val="Normal"/>
    <w:link w:val="HeaderChar"/>
    <w:uiPriority w:val="99"/>
    <w:unhideWhenUsed/>
    <w:rsid w:val="004B0A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0A96"/>
  </w:style>
  <w:style w:type="paragraph" w:styleId="Footer">
    <w:name w:val="footer"/>
    <w:basedOn w:val="Normal"/>
    <w:link w:val="FooterChar"/>
    <w:uiPriority w:val="99"/>
    <w:unhideWhenUsed/>
    <w:rsid w:val="004B0A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0A96"/>
  </w:style>
  <w:style w:type="paragraph" w:styleId="NormalWeb">
    <w:name w:val="Normal (Web)"/>
    <w:basedOn w:val="Normal"/>
    <w:uiPriority w:val="99"/>
    <w:unhideWhenUsed/>
    <w:rsid w:val="00464353"/>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table" w:styleId="TableGrid">
    <w:name w:val="Table Grid"/>
    <w:basedOn w:val="TableNormal"/>
    <w:uiPriority w:val="39"/>
    <w:rsid w:val="00913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913B7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8629">
      <w:bodyDiv w:val="1"/>
      <w:marLeft w:val="0"/>
      <w:marRight w:val="0"/>
      <w:marTop w:val="0"/>
      <w:marBottom w:val="0"/>
      <w:divBdr>
        <w:top w:val="none" w:sz="0" w:space="0" w:color="auto"/>
        <w:left w:val="none" w:sz="0" w:space="0" w:color="auto"/>
        <w:bottom w:val="none" w:sz="0" w:space="0" w:color="auto"/>
        <w:right w:val="none" w:sz="0" w:space="0" w:color="auto"/>
      </w:divBdr>
    </w:div>
    <w:div w:id="498737598">
      <w:bodyDiv w:val="1"/>
      <w:marLeft w:val="0"/>
      <w:marRight w:val="0"/>
      <w:marTop w:val="0"/>
      <w:marBottom w:val="0"/>
      <w:divBdr>
        <w:top w:val="none" w:sz="0" w:space="0" w:color="auto"/>
        <w:left w:val="none" w:sz="0" w:space="0" w:color="auto"/>
        <w:bottom w:val="none" w:sz="0" w:space="0" w:color="auto"/>
        <w:right w:val="none" w:sz="0" w:space="0" w:color="auto"/>
      </w:divBdr>
    </w:div>
    <w:div w:id="607811324">
      <w:bodyDiv w:val="1"/>
      <w:marLeft w:val="0"/>
      <w:marRight w:val="0"/>
      <w:marTop w:val="0"/>
      <w:marBottom w:val="0"/>
      <w:divBdr>
        <w:top w:val="none" w:sz="0" w:space="0" w:color="auto"/>
        <w:left w:val="none" w:sz="0" w:space="0" w:color="auto"/>
        <w:bottom w:val="none" w:sz="0" w:space="0" w:color="auto"/>
        <w:right w:val="none" w:sz="0" w:space="0" w:color="auto"/>
      </w:divBdr>
    </w:div>
    <w:div w:id="897939762">
      <w:bodyDiv w:val="1"/>
      <w:marLeft w:val="0"/>
      <w:marRight w:val="0"/>
      <w:marTop w:val="0"/>
      <w:marBottom w:val="0"/>
      <w:divBdr>
        <w:top w:val="none" w:sz="0" w:space="0" w:color="auto"/>
        <w:left w:val="none" w:sz="0" w:space="0" w:color="auto"/>
        <w:bottom w:val="none" w:sz="0" w:space="0" w:color="auto"/>
        <w:right w:val="none" w:sz="0" w:space="0" w:color="auto"/>
      </w:divBdr>
      <w:divsChild>
        <w:div w:id="22220132">
          <w:marLeft w:val="0"/>
          <w:marRight w:val="0"/>
          <w:marTop w:val="0"/>
          <w:marBottom w:val="0"/>
          <w:divBdr>
            <w:top w:val="none" w:sz="0" w:space="0" w:color="auto"/>
            <w:left w:val="none" w:sz="0" w:space="0" w:color="auto"/>
            <w:bottom w:val="none" w:sz="0" w:space="0" w:color="auto"/>
            <w:right w:val="none" w:sz="0" w:space="0" w:color="auto"/>
          </w:divBdr>
          <w:divsChild>
            <w:div w:id="78507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99341">
      <w:bodyDiv w:val="1"/>
      <w:marLeft w:val="0"/>
      <w:marRight w:val="0"/>
      <w:marTop w:val="0"/>
      <w:marBottom w:val="0"/>
      <w:divBdr>
        <w:top w:val="none" w:sz="0" w:space="0" w:color="auto"/>
        <w:left w:val="none" w:sz="0" w:space="0" w:color="auto"/>
        <w:bottom w:val="none" w:sz="0" w:space="0" w:color="auto"/>
        <w:right w:val="none" w:sz="0" w:space="0" w:color="auto"/>
      </w:divBdr>
    </w:div>
    <w:div w:id="1213348717">
      <w:bodyDiv w:val="1"/>
      <w:marLeft w:val="0"/>
      <w:marRight w:val="0"/>
      <w:marTop w:val="0"/>
      <w:marBottom w:val="0"/>
      <w:divBdr>
        <w:top w:val="none" w:sz="0" w:space="0" w:color="auto"/>
        <w:left w:val="none" w:sz="0" w:space="0" w:color="auto"/>
        <w:bottom w:val="none" w:sz="0" w:space="0" w:color="auto"/>
        <w:right w:val="none" w:sz="0" w:space="0" w:color="auto"/>
      </w:divBdr>
      <w:divsChild>
        <w:div w:id="1239092006">
          <w:marLeft w:val="0"/>
          <w:marRight w:val="0"/>
          <w:marTop w:val="0"/>
          <w:marBottom w:val="0"/>
          <w:divBdr>
            <w:top w:val="none" w:sz="0" w:space="0" w:color="auto"/>
            <w:left w:val="none" w:sz="0" w:space="0" w:color="auto"/>
            <w:bottom w:val="none" w:sz="0" w:space="0" w:color="auto"/>
            <w:right w:val="none" w:sz="0" w:space="0" w:color="auto"/>
          </w:divBdr>
          <w:divsChild>
            <w:div w:id="14685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6470">
      <w:bodyDiv w:val="1"/>
      <w:marLeft w:val="0"/>
      <w:marRight w:val="0"/>
      <w:marTop w:val="0"/>
      <w:marBottom w:val="0"/>
      <w:divBdr>
        <w:top w:val="none" w:sz="0" w:space="0" w:color="auto"/>
        <w:left w:val="none" w:sz="0" w:space="0" w:color="auto"/>
        <w:bottom w:val="none" w:sz="0" w:space="0" w:color="auto"/>
        <w:right w:val="none" w:sz="0" w:space="0" w:color="auto"/>
      </w:divBdr>
      <w:divsChild>
        <w:div w:id="172303285">
          <w:marLeft w:val="0"/>
          <w:marRight w:val="0"/>
          <w:marTop w:val="0"/>
          <w:marBottom w:val="0"/>
          <w:divBdr>
            <w:top w:val="none" w:sz="0" w:space="0" w:color="auto"/>
            <w:left w:val="none" w:sz="0" w:space="0" w:color="auto"/>
            <w:bottom w:val="none" w:sz="0" w:space="0" w:color="auto"/>
            <w:right w:val="none" w:sz="0" w:space="0" w:color="auto"/>
          </w:divBdr>
          <w:divsChild>
            <w:div w:id="76507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097001">
      <w:bodyDiv w:val="1"/>
      <w:marLeft w:val="0"/>
      <w:marRight w:val="0"/>
      <w:marTop w:val="0"/>
      <w:marBottom w:val="0"/>
      <w:divBdr>
        <w:top w:val="none" w:sz="0" w:space="0" w:color="auto"/>
        <w:left w:val="none" w:sz="0" w:space="0" w:color="auto"/>
        <w:bottom w:val="none" w:sz="0" w:space="0" w:color="auto"/>
        <w:right w:val="none" w:sz="0" w:space="0" w:color="auto"/>
      </w:divBdr>
    </w:div>
    <w:div w:id="1931811454">
      <w:bodyDiv w:val="1"/>
      <w:marLeft w:val="0"/>
      <w:marRight w:val="0"/>
      <w:marTop w:val="0"/>
      <w:marBottom w:val="0"/>
      <w:divBdr>
        <w:top w:val="none" w:sz="0" w:space="0" w:color="auto"/>
        <w:left w:val="none" w:sz="0" w:space="0" w:color="auto"/>
        <w:bottom w:val="none" w:sz="0" w:space="0" w:color="auto"/>
        <w:right w:val="none" w:sz="0" w:space="0" w:color="auto"/>
      </w:divBdr>
      <w:divsChild>
        <w:div w:id="1298217557">
          <w:marLeft w:val="0"/>
          <w:marRight w:val="0"/>
          <w:marTop w:val="0"/>
          <w:marBottom w:val="0"/>
          <w:divBdr>
            <w:top w:val="none" w:sz="0" w:space="0" w:color="auto"/>
            <w:left w:val="none" w:sz="0" w:space="0" w:color="auto"/>
            <w:bottom w:val="none" w:sz="0" w:space="0" w:color="auto"/>
            <w:right w:val="none" w:sz="0" w:space="0" w:color="auto"/>
          </w:divBdr>
          <w:divsChild>
            <w:div w:id="161004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3600869.2022.2061888" TargetMode="External"/><Relationship Id="rId13" Type="http://schemas.openxmlformats.org/officeDocument/2006/relationships/hyperlink" Target="https://doi.org/10.48550/arxiv.2202.09016" TargetMode="External"/><Relationship Id="rId18" Type="http://schemas.openxmlformats.org/officeDocument/2006/relationships/hyperlink" Target="https://www.ibm.com/reports/data-breach"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rusi.org/explore-our-research/publications/occasional-papers/ransomware-victim-insights-harms-individuals-organisations-and-society" TargetMode="External"/><Relationship Id="rId7" Type="http://schemas.openxmlformats.org/officeDocument/2006/relationships/endnotes" Target="endnotes.xml"/><Relationship Id="rId12" Type="http://schemas.openxmlformats.org/officeDocument/2006/relationships/hyperlink" Target="https://www.gov.uk/government/publications/cyber-security-strategy-for-health-and-social-care-2023-to-2030/a-cyber-resilient-health-and-adult-social-care-system-in-england-cyber-security-strategy-to-2030" TargetMode="External"/><Relationship Id="rId17" Type="http://schemas.openxmlformats.org/officeDocument/2006/relationships/hyperlink" Target="https://www.ibm.com/think/topics/ransomware-as-a-service" TargetMode="External"/><Relationship Id="rId25" Type="http://schemas.openxmlformats.org/officeDocument/2006/relationships/hyperlink" Target="https://doi.org/10.1016/j.future.2019.12.028" TargetMode="External"/><Relationship Id="rId2" Type="http://schemas.openxmlformats.org/officeDocument/2006/relationships/numbering" Target="numbering.xml"/><Relationship Id="rId16" Type="http://schemas.openxmlformats.org/officeDocument/2006/relationships/hyperlink" Target="https://www.imperial.ac.uk/media/imperial-college/institute-of-global-health-innovation/Cyber-report-2020.pdf" TargetMode="External"/><Relationship Id="rId20" Type="http://schemas.openxmlformats.org/officeDocument/2006/relationships/hyperlink" Target="https://doi.org/10.1007/978-981-96-5566-3_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sets.publishing.service.gov.uk/government/uploads/system/uploads/attachment_data/file/747464/securing-cyber-resilience-in-health-and-care-september-2018-update.pdf" TargetMode="External"/><Relationship Id="rId24" Type="http://schemas.openxmlformats.org/officeDocument/2006/relationships/hyperlink" Target="https://www.digitalhealth.net/2025/01/cyber-attack-cost-synnovis-estimated-32-7m-in-2024/" TargetMode="External"/><Relationship Id="rId5" Type="http://schemas.openxmlformats.org/officeDocument/2006/relationships/webSettings" Target="webSettings.xml"/><Relationship Id="rId15" Type="http://schemas.openxmlformats.org/officeDocument/2006/relationships/hyperlink" Target="https://www.nature.com/articles/s41746-019-0161-6" TargetMode="External"/><Relationship Id="rId23" Type="http://schemas.openxmlformats.org/officeDocument/2006/relationships/hyperlink" Target="https://kar.kent.ac.uk/101600/1/HAISA-2023-Ransomware-harms.pdf" TargetMode="External"/><Relationship Id="rId28" Type="http://schemas.openxmlformats.org/officeDocument/2006/relationships/theme" Target="theme/theme1.xml"/><Relationship Id="rId10" Type="http://schemas.openxmlformats.org/officeDocument/2006/relationships/hyperlink" Target="https://doi.org/10.1007/s42979-021-00858-4" TargetMode="External"/><Relationship Id="rId19" Type="http://schemas.openxmlformats.org/officeDocument/2006/relationships/hyperlink" Target="https://www.cybok.org/media/downloads/Malware_Attack_Technologies_v1.0.1.pdf" TargetMode="External"/><Relationship Id="rId4" Type="http://schemas.openxmlformats.org/officeDocument/2006/relationships/settings" Target="settings.xml"/><Relationship Id="rId9" Type="http://schemas.openxmlformats.org/officeDocument/2006/relationships/hyperlink" Target="https://doi.org/10.1057/s41288-023-00288-8" TargetMode="External"/><Relationship Id="rId14" Type="http://schemas.openxmlformats.org/officeDocument/2006/relationships/hyperlink" Target="https://doi.org/10.2196/46904" TargetMode="External"/><Relationship Id="rId22" Type="http://schemas.openxmlformats.org/officeDocument/2006/relationships/hyperlink" Target="https://www.ncsc.gov.uk/ransomware/hom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1362D4-71BA-4169-B822-FA7CE33896D4}">
  <we:reference id="wa200005502" version="1.0.0.11" store="en-GB" storeType="OMEX"/>
  <we:alternateReferences>
    <we:reference id="WA200005502" version="1.0.0.1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7072B-E518-4662-9D77-72CC56630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23266</TotalTime>
  <Pages>14</Pages>
  <Words>3033</Words>
  <Characters>19596</Characters>
  <Application>Microsoft Office Word</Application>
  <DocSecurity>0</DocSecurity>
  <Lines>369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Edney</dc:creator>
  <cp:keywords/>
  <dc:description/>
  <cp:lastModifiedBy>James Edney</cp:lastModifiedBy>
  <cp:revision>24</cp:revision>
  <dcterms:created xsi:type="dcterms:W3CDTF">2025-07-30T10:43:00Z</dcterms:created>
  <dcterms:modified xsi:type="dcterms:W3CDTF">2025-09-15T22:09:00Z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28c97fc4-4db3-410e-a3c3-46d9df3807eb</vt:lpwstr>
  </property>
</Properties>
</file>