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A1D2" w14:textId="376B3192" w:rsidR="00023038" w:rsidRDefault="00A07838" w:rsidP="00A07838">
      <w:pPr>
        <w:pStyle w:val="Heading1"/>
        <w:spacing w:line="480" w:lineRule="auto"/>
        <w:jc w:val="center"/>
      </w:pPr>
      <w:r>
        <w:t>Ethics in Computing in the Age of Generative AI</w:t>
      </w:r>
    </w:p>
    <w:p w14:paraId="10EAD3AB" w14:textId="1CDF3157" w:rsidR="00A07838" w:rsidRDefault="00A07838" w:rsidP="00A07838">
      <w:pPr>
        <w:pStyle w:val="Subtitle"/>
        <w:numPr>
          <w:ilvl w:val="0"/>
          <w:numId w:val="1"/>
        </w:numPr>
        <w:spacing w:line="480" w:lineRule="auto"/>
        <w:rPr>
          <w:rFonts w:ascii="Arial" w:hAnsi="Arial" w:cs="Arial"/>
        </w:rPr>
      </w:pPr>
      <w:r w:rsidRPr="00A07838">
        <w:rPr>
          <w:rFonts w:ascii="Arial" w:hAnsi="Arial" w:cs="Arial"/>
        </w:rPr>
        <w:t>Introduction</w:t>
      </w:r>
    </w:p>
    <w:p w14:paraId="6362F130" w14:textId="6F03CB1C" w:rsidR="00A07838" w:rsidRDefault="00F865D7" w:rsidP="00A21C59">
      <w:pPr>
        <w:spacing w:line="480" w:lineRule="auto"/>
        <w:jc w:val="both"/>
        <w:rPr>
          <w:rFonts w:ascii="Arial" w:hAnsi="Arial" w:cs="Arial"/>
          <w:sz w:val="24"/>
          <w:szCs w:val="24"/>
        </w:rPr>
      </w:pPr>
      <w:r>
        <w:rPr>
          <w:rFonts w:ascii="Arial" w:hAnsi="Arial" w:cs="Arial"/>
          <w:sz w:val="24"/>
          <w:szCs w:val="24"/>
        </w:rPr>
        <w:t xml:space="preserve">Since 2022, interest in generative artificial intelligence (GAI) has surged, as </w:t>
      </w:r>
      <w:r w:rsidR="007E6ABD">
        <w:rPr>
          <w:rFonts w:ascii="Arial" w:hAnsi="Arial" w:cs="Arial"/>
          <w:sz w:val="24"/>
          <w:szCs w:val="24"/>
        </w:rPr>
        <w:t>evidenced</w:t>
      </w:r>
      <w:r>
        <w:rPr>
          <w:rFonts w:ascii="Arial" w:hAnsi="Arial" w:cs="Arial"/>
          <w:sz w:val="24"/>
          <w:szCs w:val="24"/>
        </w:rPr>
        <w:t xml:space="preserve"> by Ding, Lawson, and Shapira’s (2025) bibliometric analysis of GAI research. While this study mainly concentrates on research outputs rather than real-world applications, other studies, such as Correa et al.'s (2023) discussion on GAI ethics, also emphasise this growth. As a postgraduate cybersecurity student, I increasingly question how such a rapidly evolving technology is ethically managed and what measures can be introduced to ensure proper oversight. This piece will examine this question</w:t>
      </w:r>
      <w:r w:rsidR="007E6ABD">
        <w:rPr>
          <w:rFonts w:ascii="Arial" w:hAnsi="Arial" w:cs="Arial"/>
          <w:sz w:val="24"/>
          <w:szCs w:val="24"/>
        </w:rPr>
        <w:t>, proposing</w:t>
      </w:r>
      <w:r>
        <w:rPr>
          <w:rFonts w:ascii="Arial" w:hAnsi="Arial" w:cs="Arial"/>
          <w:sz w:val="24"/>
          <w:szCs w:val="24"/>
        </w:rPr>
        <w:t xml:space="preserve"> openness as a governance approach</w:t>
      </w:r>
      <w:r w:rsidR="007E6ABD">
        <w:rPr>
          <w:rFonts w:ascii="Arial" w:hAnsi="Arial" w:cs="Arial"/>
          <w:sz w:val="24"/>
          <w:szCs w:val="24"/>
        </w:rPr>
        <w:t>. It will</w:t>
      </w:r>
      <w:r>
        <w:rPr>
          <w:rFonts w:ascii="Arial" w:hAnsi="Arial" w:cs="Arial"/>
          <w:sz w:val="24"/>
          <w:szCs w:val="24"/>
        </w:rPr>
        <w:t xml:space="preserve"> help me </w:t>
      </w:r>
      <w:r w:rsidR="007E6ABD">
        <w:rPr>
          <w:rFonts w:ascii="Arial" w:hAnsi="Arial" w:cs="Arial"/>
          <w:sz w:val="24"/>
          <w:szCs w:val="24"/>
        </w:rPr>
        <w:t xml:space="preserve">critically </w:t>
      </w:r>
      <w:r>
        <w:rPr>
          <w:rFonts w:ascii="Arial" w:hAnsi="Arial" w:cs="Arial"/>
          <w:sz w:val="24"/>
          <w:szCs w:val="24"/>
        </w:rPr>
        <w:t>assess the professional, legal, social, cultural, and ethical issues that influence computing professionals.</w:t>
      </w:r>
    </w:p>
    <w:p w14:paraId="607DEEAD" w14:textId="1928293A" w:rsidR="00234737" w:rsidRDefault="00234737" w:rsidP="00234737">
      <w:pPr>
        <w:pStyle w:val="Subtitle"/>
        <w:numPr>
          <w:ilvl w:val="0"/>
          <w:numId w:val="1"/>
        </w:numPr>
        <w:spacing w:line="480" w:lineRule="auto"/>
        <w:rPr>
          <w:rFonts w:ascii="Arial" w:hAnsi="Arial" w:cs="Arial"/>
        </w:rPr>
      </w:pPr>
      <w:r w:rsidRPr="00234737">
        <w:rPr>
          <w:rFonts w:ascii="Arial" w:hAnsi="Arial" w:cs="Arial"/>
        </w:rPr>
        <w:t>Global Perspectives on Governance</w:t>
      </w:r>
    </w:p>
    <w:p w14:paraId="39B65FF9" w14:textId="6BA2AF94" w:rsidR="00234737" w:rsidRDefault="007E6ABD" w:rsidP="00234737">
      <w:pPr>
        <w:spacing w:line="480" w:lineRule="auto"/>
        <w:jc w:val="both"/>
        <w:rPr>
          <w:rFonts w:ascii="Arial" w:hAnsi="Arial" w:cs="Arial"/>
          <w:sz w:val="24"/>
          <w:szCs w:val="24"/>
        </w:rPr>
      </w:pPr>
      <w:r>
        <w:rPr>
          <w:rFonts w:ascii="Arial" w:hAnsi="Arial" w:cs="Arial"/>
          <w:sz w:val="24"/>
          <w:szCs w:val="24"/>
        </w:rPr>
        <w:t>The Correa et al. (2023) paper identifies agreement on 17 principles through its analysis of international frameworks and studies. However, it also highlights a disparity in the importance attributed to these principles within a global context. For example, while the UK and the USA share the same top five principles, Asia includes the principle of beneficence among theirs. Furthermore, there is a disparity in how different types of organisations prioritise these principles. A governmental organisation favours transparency, whereas the private sector tends to prioritise reliability. Together, these discrepancies emphasise the challenge of aligning ethical frameworks for GAI and lead me to question the feasibility of a unified governance framework given the contrasting priorities.</w:t>
      </w:r>
    </w:p>
    <w:p w14:paraId="1EDE7416" w14:textId="74429D05" w:rsidR="00BD283C" w:rsidRDefault="007E6ABD" w:rsidP="00234737">
      <w:pPr>
        <w:spacing w:line="480" w:lineRule="auto"/>
        <w:jc w:val="both"/>
        <w:rPr>
          <w:rFonts w:ascii="Arial" w:hAnsi="Arial" w:cs="Arial"/>
          <w:sz w:val="24"/>
          <w:szCs w:val="24"/>
        </w:rPr>
      </w:pPr>
      <w:r>
        <w:rPr>
          <w:rFonts w:ascii="Arial" w:hAnsi="Arial" w:cs="Arial"/>
          <w:sz w:val="24"/>
          <w:szCs w:val="24"/>
        </w:rPr>
        <w:lastRenderedPageBreak/>
        <w:t xml:space="preserve">The diverse social environments intensify this challenge. The Chinese government has long maintained control over information production and, from the outset, established robust frameworks and legislation for the use of GAI (Creemers, 2025). These regulations have also helped China become a significant economic player in the GAI market, like the approach taken by the US (Chun, Schroeder, and Elkins, 2025). In contrast, Chun, Schroeder, and Elkins (2025) explain how the EU has adopted a more risk-centric, rights-based approach. With no clear consensus on how GAI should be managed, developing ethical frameworks becomes even more complex. In my view, there must be a balance between protecting individual rights and fostering innovative GAI development, as both extremes risk undermining either trust or progress. </w:t>
      </w:r>
    </w:p>
    <w:p w14:paraId="019CF770" w14:textId="6C4DFD17" w:rsidR="00BD283C" w:rsidRDefault="00C44C5C" w:rsidP="00C44C5C">
      <w:pPr>
        <w:pStyle w:val="Subtitle"/>
        <w:numPr>
          <w:ilvl w:val="0"/>
          <w:numId w:val="1"/>
        </w:numPr>
        <w:spacing w:line="480" w:lineRule="auto"/>
        <w:rPr>
          <w:rFonts w:ascii="Arial" w:hAnsi="Arial" w:cs="Arial"/>
        </w:rPr>
      </w:pPr>
      <w:r>
        <w:rPr>
          <w:rFonts w:ascii="Arial" w:hAnsi="Arial" w:cs="Arial"/>
        </w:rPr>
        <w:t>Governance Challenges</w:t>
      </w:r>
    </w:p>
    <w:p w14:paraId="56081D57" w14:textId="46D87A1B" w:rsidR="00C44C5C" w:rsidRDefault="00394AED" w:rsidP="00C44C5C">
      <w:pPr>
        <w:spacing w:line="480" w:lineRule="auto"/>
        <w:jc w:val="both"/>
        <w:rPr>
          <w:rFonts w:ascii="Arial" w:hAnsi="Arial" w:cs="Arial"/>
          <w:sz w:val="24"/>
          <w:szCs w:val="24"/>
        </w:rPr>
      </w:pPr>
      <w:r>
        <w:rPr>
          <w:rFonts w:ascii="Arial" w:hAnsi="Arial" w:cs="Arial"/>
          <w:sz w:val="24"/>
          <w:szCs w:val="24"/>
        </w:rPr>
        <w:t xml:space="preserve">Various social, legal, and ethical norms </w:t>
      </w:r>
      <w:r w:rsidR="009C1BE0">
        <w:rPr>
          <w:rFonts w:ascii="Arial" w:hAnsi="Arial" w:cs="Arial"/>
          <w:sz w:val="24"/>
          <w:szCs w:val="24"/>
        </w:rPr>
        <w:t>pose challenges to</w:t>
      </w:r>
      <w:r>
        <w:rPr>
          <w:rFonts w:ascii="Arial" w:hAnsi="Arial" w:cs="Arial"/>
          <w:sz w:val="24"/>
          <w:szCs w:val="24"/>
        </w:rPr>
        <w:t xml:space="preserve"> governance. For example, the EU legislation reflects the Union’s deontological commitments to fundamental rights (Kusche, 2024); however, this could be seen as an obstacle to innovation and growth within the GAI market. </w:t>
      </w:r>
      <w:r w:rsidR="005C13F6">
        <w:rPr>
          <w:rFonts w:ascii="Arial" w:hAnsi="Arial" w:cs="Arial"/>
          <w:sz w:val="24"/>
          <w:szCs w:val="24"/>
        </w:rPr>
        <w:t>At the other end of the spectrum, a</w:t>
      </w:r>
      <w:r>
        <w:rPr>
          <w:rFonts w:ascii="Arial" w:hAnsi="Arial" w:cs="Arial"/>
          <w:sz w:val="24"/>
          <w:szCs w:val="24"/>
        </w:rPr>
        <w:t xml:space="preserve">pproaches from the US and China promote a more market-driven directive, but this could result in a lack of transparency or beneficence. This reveals a lack of balance in international interests, </w:t>
      </w:r>
      <w:r w:rsidR="005C13F6">
        <w:rPr>
          <w:rFonts w:ascii="Arial" w:hAnsi="Arial" w:cs="Arial"/>
          <w:sz w:val="24"/>
          <w:szCs w:val="24"/>
        </w:rPr>
        <w:t xml:space="preserve">which, in my opinion, </w:t>
      </w:r>
      <w:r>
        <w:rPr>
          <w:rFonts w:ascii="Arial" w:hAnsi="Arial" w:cs="Arial"/>
          <w:sz w:val="24"/>
          <w:szCs w:val="24"/>
        </w:rPr>
        <w:t>present</w:t>
      </w:r>
      <w:r w:rsidR="005C13F6">
        <w:rPr>
          <w:rFonts w:ascii="Arial" w:hAnsi="Arial" w:cs="Arial"/>
          <w:sz w:val="24"/>
          <w:szCs w:val="24"/>
        </w:rPr>
        <w:t>s</w:t>
      </w:r>
      <w:r>
        <w:rPr>
          <w:rFonts w:ascii="Arial" w:hAnsi="Arial" w:cs="Arial"/>
          <w:sz w:val="24"/>
          <w:szCs w:val="24"/>
        </w:rPr>
        <w:t xml:space="preserve"> a challenge to overall governance</w:t>
      </w:r>
      <w:r w:rsidR="005C13F6">
        <w:rPr>
          <w:rFonts w:ascii="Arial" w:hAnsi="Arial" w:cs="Arial"/>
          <w:sz w:val="24"/>
          <w:szCs w:val="24"/>
        </w:rPr>
        <w:t xml:space="preserve"> and complicates efforts to develop shared standards.</w:t>
      </w:r>
    </w:p>
    <w:p w14:paraId="3881C060" w14:textId="29EEF087" w:rsidR="00394AED" w:rsidRDefault="00551727" w:rsidP="00C44C5C">
      <w:pPr>
        <w:spacing w:line="480" w:lineRule="auto"/>
        <w:jc w:val="both"/>
        <w:rPr>
          <w:rFonts w:ascii="Arial" w:hAnsi="Arial" w:cs="Arial"/>
          <w:sz w:val="24"/>
          <w:szCs w:val="24"/>
        </w:rPr>
      </w:pPr>
      <w:r>
        <w:rPr>
          <w:rFonts w:ascii="Arial" w:hAnsi="Arial" w:cs="Arial"/>
          <w:sz w:val="24"/>
          <w:szCs w:val="24"/>
        </w:rPr>
        <w:t xml:space="preserve">From the current literature, I found that the development pace also exceeds an organisation’s capacity to establish adequate regulations. Wagner, Doerr and Schmit (2024) highlight this “pacing” problem, noting that traditional laws create a delay between governance and technology. I found it striking that, despite its recent </w:t>
      </w:r>
      <w:r>
        <w:rPr>
          <w:rFonts w:ascii="Arial" w:hAnsi="Arial" w:cs="Arial"/>
          <w:sz w:val="24"/>
          <w:szCs w:val="24"/>
        </w:rPr>
        <w:lastRenderedPageBreak/>
        <w:t>publication, it does not cover the swift implementation of frameworks in 2025, ironically exemplifying the pacing issue it critiques. To me, this emphasises the challenge of maintaining GAI ethical oversight.</w:t>
      </w:r>
    </w:p>
    <w:p w14:paraId="3D439A5B" w14:textId="53687708" w:rsidR="00C44C5C" w:rsidRDefault="00AD15B8" w:rsidP="00C44C5C">
      <w:pPr>
        <w:spacing w:line="480" w:lineRule="auto"/>
        <w:jc w:val="both"/>
        <w:rPr>
          <w:rFonts w:ascii="Arial" w:hAnsi="Arial" w:cs="Arial"/>
          <w:sz w:val="24"/>
          <w:szCs w:val="24"/>
        </w:rPr>
      </w:pPr>
      <w:r>
        <w:rPr>
          <w:rFonts w:ascii="Arial" w:hAnsi="Arial" w:cs="Arial"/>
          <w:sz w:val="24"/>
          <w:szCs w:val="24"/>
        </w:rPr>
        <w:t>The way AI developers construct their datasets also raises ethical concerns. Longpre et al. (2024) highlight this issue, describing how in the race to develop more advanced models, there is a problem of data transparency and provenance in these “monolithic” datasets. A lack of provenance for the data undermines the credibility of the model, suggesting that it may be more likely to generate malicious or misleading content. From my perspective, this makes it difficult for professionals to ensure models comply with ethical standards and introduces further challenges for accountability and regulatory oversight.</w:t>
      </w:r>
    </w:p>
    <w:p w14:paraId="3CE42317" w14:textId="597EC922" w:rsidR="001C2AED" w:rsidRDefault="001C2AED" w:rsidP="001C2AED">
      <w:pPr>
        <w:pStyle w:val="Subtitle"/>
        <w:numPr>
          <w:ilvl w:val="0"/>
          <w:numId w:val="1"/>
        </w:numPr>
        <w:spacing w:line="480" w:lineRule="auto"/>
        <w:rPr>
          <w:rFonts w:ascii="Arial" w:hAnsi="Arial" w:cs="Arial"/>
        </w:rPr>
      </w:pPr>
      <w:r w:rsidRPr="001C2AED">
        <w:rPr>
          <w:rFonts w:ascii="Arial" w:hAnsi="Arial" w:cs="Arial"/>
        </w:rPr>
        <w:t>Proposed Course of Action</w:t>
      </w:r>
    </w:p>
    <w:p w14:paraId="65545812" w14:textId="00950729" w:rsidR="008C0BB7" w:rsidRDefault="004416BA" w:rsidP="008C0BB7">
      <w:pPr>
        <w:spacing w:line="480" w:lineRule="auto"/>
        <w:jc w:val="both"/>
        <w:rPr>
          <w:rFonts w:ascii="Arial" w:hAnsi="Arial" w:cs="Arial"/>
          <w:sz w:val="24"/>
          <w:szCs w:val="24"/>
        </w:rPr>
      </w:pPr>
      <w:r>
        <w:rPr>
          <w:rFonts w:ascii="Arial" w:hAnsi="Arial" w:cs="Arial"/>
          <w:sz w:val="24"/>
          <w:szCs w:val="24"/>
        </w:rPr>
        <w:t>Recurring issues, such as a lack of convergence on essential principles, legislative pacing challenges, and the balance between individual rights and innovation, indicate that current approaches to governance are fragmented. Therefore, a proposed solution should adopt a comprehensive and global approach to the development of ethical GAI.</w:t>
      </w:r>
    </w:p>
    <w:p w14:paraId="75A4AF74" w14:textId="7B0AEC63" w:rsidR="008C0BB7" w:rsidRDefault="00A914CB" w:rsidP="008C0BB7">
      <w:pPr>
        <w:spacing w:line="480" w:lineRule="auto"/>
        <w:jc w:val="both"/>
        <w:rPr>
          <w:rFonts w:ascii="Arial" w:hAnsi="Arial" w:cs="Arial"/>
          <w:sz w:val="24"/>
          <w:szCs w:val="24"/>
        </w:rPr>
      </w:pPr>
      <w:r>
        <w:rPr>
          <w:rFonts w:ascii="Arial" w:hAnsi="Arial" w:cs="Arial"/>
          <w:sz w:val="24"/>
          <w:szCs w:val="24"/>
        </w:rPr>
        <w:t xml:space="preserve">Legislation proposed by the European Union, aimed at protecting individual rights, </w:t>
      </w:r>
      <w:r w:rsidR="00B72E91">
        <w:rPr>
          <w:rFonts w:ascii="Arial" w:hAnsi="Arial" w:cs="Arial"/>
          <w:sz w:val="24"/>
          <w:szCs w:val="24"/>
        </w:rPr>
        <w:t>risks veering into</w:t>
      </w:r>
      <w:r>
        <w:rPr>
          <w:rFonts w:ascii="Arial" w:hAnsi="Arial" w:cs="Arial"/>
          <w:sz w:val="24"/>
          <w:szCs w:val="24"/>
        </w:rPr>
        <w:t xml:space="preserve"> overregulation. </w:t>
      </w:r>
      <w:r w:rsidR="00B72E91">
        <w:rPr>
          <w:rFonts w:ascii="Arial" w:hAnsi="Arial" w:cs="Arial"/>
          <w:sz w:val="24"/>
          <w:szCs w:val="24"/>
        </w:rPr>
        <w:t xml:space="preserve">This is evident in the UK’s Online Safety Act, which has already faced </w:t>
      </w:r>
      <w:r>
        <w:rPr>
          <w:rFonts w:ascii="Arial" w:hAnsi="Arial" w:cs="Arial"/>
          <w:sz w:val="24"/>
          <w:szCs w:val="24"/>
        </w:rPr>
        <w:t xml:space="preserve">criticism for its impact on restricting freedom of speech (Bechtold, 2024). </w:t>
      </w:r>
      <w:r w:rsidR="00AD15B8">
        <w:rPr>
          <w:rFonts w:ascii="Arial" w:hAnsi="Arial" w:cs="Arial"/>
          <w:sz w:val="24"/>
          <w:szCs w:val="24"/>
        </w:rPr>
        <w:t>This leads me to conclude that a</w:t>
      </w:r>
      <w:r>
        <w:rPr>
          <w:rFonts w:ascii="Arial" w:hAnsi="Arial" w:cs="Arial"/>
          <w:sz w:val="24"/>
          <w:szCs w:val="24"/>
        </w:rPr>
        <w:t xml:space="preserve">n excessive focus on preventing GAI from generating harmful content can </w:t>
      </w:r>
      <w:r w:rsidR="00B72E91">
        <w:rPr>
          <w:rFonts w:ascii="Arial" w:hAnsi="Arial" w:cs="Arial"/>
          <w:sz w:val="24"/>
          <w:szCs w:val="24"/>
        </w:rPr>
        <w:t>stifle</w:t>
      </w:r>
      <w:r>
        <w:rPr>
          <w:rFonts w:ascii="Arial" w:hAnsi="Arial" w:cs="Arial"/>
          <w:sz w:val="24"/>
          <w:szCs w:val="24"/>
        </w:rPr>
        <w:t xml:space="preserve"> innovation, as developers </w:t>
      </w:r>
      <w:r w:rsidR="00B72E91">
        <w:rPr>
          <w:rFonts w:ascii="Arial" w:hAnsi="Arial" w:cs="Arial"/>
          <w:sz w:val="24"/>
          <w:szCs w:val="24"/>
        </w:rPr>
        <w:t>are forced to</w:t>
      </w:r>
      <w:r>
        <w:rPr>
          <w:rFonts w:ascii="Arial" w:hAnsi="Arial" w:cs="Arial"/>
          <w:sz w:val="24"/>
          <w:szCs w:val="24"/>
        </w:rPr>
        <w:t xml:space="preserve"> prioritise regulatory compliance over </w:t>
      </w:r>
      <w:r w:rsidR="00AD15B8">
        <w:rPr>
          <w:rFonts w:ascii="Arial" w:hAnsi="Arial" w:cs="Arial"/>
          <w:sz w:val="24"/>
          <w:szCs w:val="24"/>
        </w:rPr>
        <w:t>advancing technical</w:t>
      </w:r>
      <w:r>
        <w:rPr>
          <w:rFonts w:ascii="Arial" w:hAnsi="Arial" w:cs="Arial"/>
          <w:sz w:val="24"/>
          <w:szCs w:val="24"/>
        </w:rPr>
        <w:t xml:space="preserve"> </w:t>
      </w:r>
      <w:r w:rsidR="00B72E91">
        <w:rPr>
          <w:rFonts w:ascii="Arial" w:hAnsi="Arial" w:cs="Arial"/>
          <w:sz w:val="24"/>
          <w:szCs w:val="24"/>
        </w:rPr>
        <w:t>capability</w:t>
      </w:r>
      <w:r>
        <w:rPr>
          <w:rFonts w:ascii="Arial" w:hAnsi="Arial" w:cs="Arial"/>
          <w:sz w:val="24"/>
          <w:szCs w:val="24"/>
        </w:rPr>
        <w:t xml:space="preserve">. Therefore, a proposed </w:t>
      </w:r>
      <w:r>
        <w:rPr>
          <w:rFonts w:ascii="Arial" w:hAnsi="Arial" w:cs="Arial"/>
          <w:sz w:val="24"/>
          <w:szCs w:val="24"/>
        </w:rPr>
        <w:lastRenderedPageBreak/>
        <w:t xml:space="preserve">approach must </w:t>
      </w:r>
      <w:r w:rsidR="00AD15B8">
        <w:rPr>
          <w:rFonts w:ascii="Arial" w:hAnsi="Arial" w:cs="Arial"/>
          <w:sz w:val="24"/>
          <w:szCs w:val="24"/>
        </w:rPr>
        <w:t xml:space="preserve">carefully </w:t>
      </w:r>
      <w:r>
        <w:rPr>
          <w:rFonts w:ascii="Arial" w:hAnsi="Arial" w:cs="Arial"/>
          <w:sz w:val="24"/>
          <w:szCs w:val="24"/>
        </w:rPr>
        <w:t xml:space="preserve">balance </w:t>
      </w:r>
      <w:r w:rsidR="00AD15B8">
        <w:rPr>
          <w:rFonts w:ascii="Arial" w:hAnsi="Arial" w:cs="Arial"/>
          <w:sz w:val="24"/>
          <w:szCs w:val="24"/>
        </w:rPr>
        <w:t>the need to mitigate harmful content with promoting</w:t>
      </w:r>
      <w:r>
        <w:rPr>
          <w:rFonts w:ascii="Arial" w:hAnsi="Arial" w:cs="Arial"/>
          <w:sz w:val="24"/>
          <w:szCs w:val="24"/>
        </w:rPr>
        <w:t xml:space="preserve"> GAI development.</w:t>
      </w:r>
    </w:p>
    <w:p w14:paraId="50FE660E" w14:textId="368DB50B" w:rsidR="00A914CB" w:rsidRDefault="00A914CB" w:rsidP="008C0BB7">
      <w:pPr>
        <w:spacing w:line="480" w:lineRule="auto"/>
        <w:jc w:val="both"/>
        <w:rPr>
          <w:rFonts w:ascii="Arial" w:hAnsi="Arial" w:cs="Arial"/>
          <w:sz w:val="24"/>
          <w:szCs w:val="24"/>
        </w:rPr>
      </w:pPr>
      <w:r>
        <w:rPr>
          <w:rFonts w:ascii="Arial" w:hAnsi="Arial" w:cs="Arial"/>
          <w:sz w:val="24"/>
          <w:szCs w:val="24"/>
        </w:rPr>
        <w:t xml:space="preserve">To achieve this, </w:t>
      </w:r>
      <w:r w:rsidR="00AD15B8">
        <w:rPr>
          <w:rFonts w:ascii="Arial" w:hAnsi="Arial" w:cs="Arial"/>
          <w:sz w:val="24"/>
          <w:szCs w:val="24"/>
        </w:rPr>
        <w:t xml:space="preserve">I believe </w:t>
      </w:r>
      <w:r>
        <w:rPr>
          <w:rFonts w:ascii="Arial" w:hAnsi="Arial" w:cs="Arial"/>
          <w:sz w:val="24"/>
          <w:szCs w:val="24"/>
        </w:rPr>
        <w:t xml:space="preserve">open-source development </w:t>
      </w:r>
      <w:r w:rsidR="007D3C95">
        <w:rPr>
          <w:rFonts w:ascii="Arial" w:hAnsi="Arial" w:cs="Arial"/>
          <w:sz w:val="24"/>
          <w:szCs w:val="24"/>
        </w:rPr>
        <w:t>should</w:t>
      </w:r>
      <w:r>
        <w:rPr>
          <w:rFonts w:ascii="Arial" w:hAnsi="Arial" w:cs="Arial"/>
          <w:sz w:val="24"/>
          <w:szCs w:val="24"/>
        </w:rPr>
        <w:t xml:space="preserve"> be</w:t>
      </w:r>
      <w:r w:rsidR="007D3C95">
        <w:rPr>
          <w:rFonts w:ascii="Arial" w:hAnsi="Arial" w:cs="Arial"/>
          <w:sz w:val="24"/>
          <w:szCs w:val="24"/>
        </w:rPr>
        <w:t xml:space="preserve"> actively</w:t>
      </w:r>
      <w:r>
        <w:rPr>
          <w:rFonts w:ascii="Arial" w:hAnsi="Arial" w:cs="Arial"/>
          <w:sz w:val="24"/>
          <w:szCs w:val="24"/>
        </w:rPr>
        <w:t xml:space="preserve"> encouraged. </w:t>
      </w:r>
      <w:r w:rsidR="00B72E91">
        <w:rPr>
          <w:rFonts w:ascii="Arial" w:hAnsi="Arial" w:cs="Arial"/>
          <w:sz w:val="24"/>
          <w:szCs w:val="24"/>
        </w:rPr>
        <w:t>Although closed models currently have a performance edge</w:t>
      </w:r>
      <w:r w:rsidR="00B72CA7">
        <w:rPr>
          <w:rFonts w:ascii="Arial" w:hAnsi="Arial" w:cs="Arial"/>
          <w:sz w:val="24"/>
          <w:szCs w:val="24"/>
        </w:rPr>
        <w:t xml:space="preserve">, it is estimated that open-source large language models (LLMs) will soon exceed </w:t>
      </w:r>
      <w:r w:rsidR="007D3C95">
        <w:rPr>
          <w:rFonts w:ascii="Arial" w:hAnsi="Arial" w:cs="Arial"/>
          <w:sz w:val="24"/>
          <w:szCs w:val="24"/>
        </w:rPr>
        <w:t xml:space="preserve">the performance of </w:t>
      </w:r>
      <w:r w:rsidR="00B72CA7">
        <w:rPr>
          <w:rFonts w:ascii="Arial" w:hAnsi="Arial" w:cs="Arial"/>
          <w:sz w:val="24"/>
          <w:szCs w:val="24"/>
        </w:rPr>
        <w:t>proprietary ones (</w:t>
      </w:r>
      <w:r w:rsidR="00B72CA7" w:rsidRPr="00B72CA7">
        <w:rPr>
          <w:rFonts w:ascii="Arial" w:hAnsi="Arial" w:cs="Arial"/>
          <w:sz w:val="24"/>
          <w:szCs w:val="24"/>
        </w:rPr>
        <w:t>Domen Vake </w:t>
      </w:r>
      <w:r w:rsidR="00B72CA7" w:rsidRPr="00EC752D">
        <w:rPr>
          <w:rFonts w:ascii="Arial" w:hAnsi="Arial" w:cs="Arial"/>
          <w:sz w:val="24"/>
          <w:szCs w:val="24"/>
        </w:rPr>
        <w:t>et al.,</w:t>
      </w:r>
      <w:r w:rsidR="00B72CA7" w:rsidRPr="00B72CA7">
        <w:rPr>
          <w:rFonts w:ascii="Arial" w:hAnsi="Arial" w:cs="Arial"/>
          <w:sz w:val="24"/>
          <w:szCs w:val="24"/>
        </w:rPr>
        <w:t xml:space="preserve"> 2025)</w:t>
      </w:r>
      <w:r w:rsidR="00B72CA7">
        <w:rPr>
          <w:rFonts w:ascii="Arial" w:hAnsi="Arial" w:cs="Arial"/>
          <w:sz w:val="24"/>
          <w:szCs w:val="24"/>
        </w:rPr>
        <w:t xml:space="preserve">. </w:t>
      </w:r>
      <w:r w:rsidR="00B72E91">
        <w:rPr>
          <w:rFonts w:ascii="Arial" w:hAnsi="Arial" w:cs="Arial"/>
          <w:sz w:val="24"/>
          <w:szCs w:val="24"/>
        </w:rPr>
        <w:t>Crucially, o</w:t>
      </w:r>
      <w:r w:rsidR="00B72CA7">
        <w:rPr>
          <w:rFonts w:ascii="Arial" w:hAnsi="Arial" w:cs="Arial"/>
          <w:sz w:val="24"/>
          <w:szCs w:val="24"/>
        </w:rPr>
        <w:t xml:space="preserve">pen-source development encourages collaboration, </w:t>
      </w:r>
      <w:r w:rsidR="00AD15B8">
        <w:rPr>
          <w:rFonts w:ascii="Arial" w:hAnsi="Arial" w:cs="Arial"/>
          <w:sz w:val="24"/>
          <w:szCs w:val="24"/>
        </w:rPr>
        <w:t xml:space="preserve">which, in my view, </w:t>
      </w:r>
      <w:r w:rsidR="00B72CA7">
        <w:rPr>
          <w:rFonts w:ascii="Arial" w:hAnsi="Arial" w:cs="Arial"/>
          <w:sz w:val="24"/>
          <w:szCs w:val="24"/>
        </w:rPr>
        <w:t>allow</w:t>
      </w:r>
      <w:r w:rsidR="00AD15B8">
        <w:rPr>
          <w:rFonts w:ascii="Arial" w:hAnsi="Arial" w:cs="Arial"/>
          <w:sz w:val="24"/>
          <w:szCs w:val="24"/>
        </w:rPr>
        <w:t>s</w:t>
      </w:r>
      <w:r w:rsidR="00B72CA7">
        <w:rPr>
          <w:rFonts w:ascii="Arial" w:hAnsi="Arial" w:cs="Arial"/>
          <w:sz w:val="24"/>
          <w:szCs w:val="24"/>
        </w:rPr>
        <w:t xml:space="preserve"> other researchers and developers to expand upon a model’s capabilities </w:t>
      </w:r>
      <w:r w:rsidR="007D3C95">
        <w:rPr>
          <w:rFonts w:ascii="Arial" w:hAnsi="Arial" w:cs="Arial"/>
          <w:sz w:val="24"/>
          <w:szCs w:val="24"/>
        </w:rPr>
        <w:t xml:space="preserve">and </w:t>
      </w:r>
      <w:r w:rsidR="00AD15B8">
        <w:rPr>
          <w:rFonts w:ascii="Arial" w:hAnsi="Arial" w:cs="Arial"/>
          <w:sz w:val="24"/>
          <w:szCs w:val="24"/>
        </w:rPr>
        <w:t>address ethical issues transparently and collaboratively</w:t>
      </w:r>
      <w:r w:rsidR="00257BBA">
        <w:rPr>
          <w:rFonts w:ascii="Arial" w:hAnsi="Arial" w:cs="Arial"/>
          <w:sz w:val="24"/>
          <w:szCs w:val="24"/>
        </w:rPr>
        <w:t xml:space="preserve">. This </w:t>
      </w:r>
      <w:r w:rsidR="007D3C95">
        <w:rPr>
          <w:rFonts w:ascii="Arial" w:hAnsi="Arial" w:cs="Arial"/>
          <w:sz w:val="24"/>
          <w:szCs w:val="24"/>
        </w:rPr>
        <w:t>effectively provides a form of self-governance and</w:t>
      </w:r>
      <w:r w:rsidR="00257BBA">
        <w:rPr>
          <w:rFonts w:ascii="Arial" w:hAnsi="Arial" w:cs="Arial"/>
          <w:sz w:val="24"/>
          <w:szCs w:val="24"/>
        </w:rPr>
        <w:t xml:space="preserve"> the much-needed convergence on principles discussed in the Correa et al. (2023) paper.</w:t>
      </w:r>
    </w:p>
    <w:p w14:paraId="0BE3FFA2" w14:textId="36F4B436" w:rsidR="00EC752D" w:rsidRDefault="00223915" w:rsidP="00EC752D">
      <w:pPr>
        <w:spacing w:line="480" w:lineRule="auto"/>
        <w:jc w:val="both"/>
        <w:rPr>
          <w:rFonts w:ascii="Arial" w:hAnsi="Arial" w:cs="Arial"/>
          <w:sz w:val="24"/>
          <w:szCs w:val="24"/>
        </w:rPr>
      </w:pPr>
      <w:r>
        <w:rPr>
          <w:rFonts w:ascii="Arial" w:hAnsi="Arial" w:cs="Arial"/>
          <w:sz w:val="24"/>
          <w:szCs w:val="24"/>
        </w:rPr>
        <w:t>Promoting open-source GAI development requires a coordinated international strategy that integrates research investment, regulatory frameworks, and collaborative governance. Governments and international organisations can encourage adoption by offering grants or tax incentives to those who implement the model and adhere to ethical standards. However,</w:t>
      </w:r>
      <w:r w:rsidR="00AD15B8">
        <w:rPr>
          <w:rFonts w:ascii="Arial" w:hAnsi="Arial" w:cs="Arial"/>
          <w:sz w:val="24"/>
          <w:szCs w:val="24"/>
        </w:rPr>
        <w:t xml:space="preserve"> I believe</w:t>
      </w:r>
      <w:r>
        <w:rPr>
          <w:rFonts w:ascii="Arial" w:hAnsi="Arial" w:cs="Arial"/>
          <w:sz w:val="24"/>
          <w:szCs w:val="24"/>
        </w:rPr>
        <w:t xml:space="preserve"> translating this into a global strategy is a complex process. To address this, targeted investment in digitally underrepresented countries, coupled with </w:t>
      </w:r>
      <w:r w:rsidR="00AD15B8">
        <w:rPr>
          <w:rFonts w:ascii="Arial" w:hAnsi="Arial" w:cs="Arial"/>
          <w:sz w:val="24"/>
          <w:szCs w:val="24"/>
        </w:rPr>
        <w:t>support and engagement of foreign talent, will enhance</w:t>
      </w:r>
      <w:r>
        <w:rPr>
          <w:rFonts w:ascii="Arial" w:hAnsi="Arial" w:cs="Arial"/>
          <w:sz w:val="24"/>
          <w:szCs w:val="24"/>
        </w:rPr>
        <w:t xml:space="preserve"> international participation and foster greater consensus on ethical principles</w:t>
      </w:r>
      <w:r w:rsidR="00AD15B8">
        <w:rPr>
          <w:rFonts w:ascii="Arial" w:hAnsi="Arial" w:cs="Arial"/>
          <w:sz w:val="24"/>
          <w:szCs w:val="24"/>
        </w:rPr>
        <w:t>.</w:t>
      </w:r>
    </w:p>
    <w:p w14:paraId="4F2C7C40" w14:textId="715497A2" w:rsidR="00EC752D" w:rsidRDefault="00EC752D" w:rsidP="00EC752D">
      <w:pPr>
        <w:pStyle w:val="Subtitle"/>
        <w:numPr>
          <w:ilvl w:val="0"/>
          <w:numId w:val="1"/>
        </w:numPr>
        <w:spacing w:line="480" w:lineRule="auto"/>
        <w:rPr>
          <w:rFonts w:ascii="Arial" w:hAnsi="Arial" w:cs="Arial"/>
        </w:rPr>
      </w:pPr>
      <w:r>
        <w:rPr>
          <w:rFonts w:ascii="Arial" w:hAnsi="Arial" w:cs="Arial"/>
        </w:rPr>
        <w:t>Conclusion</w:t>
      </w:r>
    </w:p>
    <w:p w14:paraId="254E42B7" w14:textId="6FFB9CFA" w:rsidR="00A21C59" w:rsidRDefault="00974C3E" w:rsidP="00AD15B8">
      <w:pPr>
        <w:spacing w:line="480" w:lineRule="auto"/>
        <w:jc w:val="both"/>
        <w:rPr>
          <w:rFonts w:ascii="Arial" w:hAnsi="Arial" w:cs="Arial"/>
          <w:sz w:val="24"/>
          <w:szCs w:val="24"/>
        </w:rPr>
      </w:pPr>
      <w:r>
        <w:rPr>
          <w:rFonts w:ascii="Arial" w:hAnsi="Arial" w:cs="Arial"/>
          <w:sz w:val="24"/>
          <w:szCs w:val="24"/>
        </w:rPr>
        <w:t xml:space="preserve">GAI has experienced significant growth since 2022, </w:t>
      </w:r>
      <w:r w:rsidR="00223915">
        <w:rPr>
          <w:rFonts w:ascii="Arial" w:hAnsi="Arial" w:cs="Arial"/>
          <w:sz w:val="24"/>
          <w:szCs w:val="24"/>
        </w:rPr>
        <w:t>which has exposed substantial gaps and challenges in its ethical governance.</w:t>
      </w:r>
      <w:r>
        <w:rPr>
          <w:rFonts w:ascii="Arial" w:hAnsi="Arial" w:cs="Arial"/>
          <w:sz w:val="24"/>
          <w:szCs w:val="24"/>
        </w:rPr>
        <w:t xml:space="preserve"> Due to its international nature, there is no consensus on the fundamental principles of GAI, with various Governments and international organisations addressing regulation from diverse perspectives. This reflective piece explores these issues and advocates for a coordinated approach to </w:t>
      </w:r>
      <w:r>
        <w:rPr>
          <w:rFonts w:ascii="Arial" w:hAnsi="Arial" w:cs="Arial"/>
          <w:sz w:val="24"/>
          <w:szCs w:val="24"/>
        </w:rPr>
        <w:lastRenderedPageBreak/>
        <w:t xml:space="preserve">tackle ethical concerns. This includes promoting open-source development accompanied by financial incentives for participants. </w:t>
      </w:r>
      <w:r w:rsidR="005C4102">
        <w:rPr>
          <w:rFonts w:ascii="Arial" w:hAnsi="Arial" w:cs="Arial"/>
          <w:sz w:val="24"/>
          <w:szCs w:val="24"/>
        </w:rPr>
        <w:t xml:space="preserve">With this, there are cross-border implications for governance, and recognising foreign talent is essential to overcome this. </w:t>
      </w:r>
      <w:r>
        <w:rPr>
          <w:rFonts w:ascii="Arial" w:hAnsi="Arial" w:cs="Arial"/>
          <w:sz w:val="24"/>
          <w:szCs w:val="24"/>
        </w:rPr>
        <w:t>This proposed course of action aims to address ethical issues arising from GAI's growth while ensuring that innovation continues unhindered.</w:t>
      </w:r>
    </w:p>
    <w:p w14:paraId="3F75FC0D" w14:textId="1DE613C7" w:rsidR="00A21C59" w:rsidRDefault="00A21C59" w:rsidP="00EC752D">
      <w:pPr>
        <w:pStyle w:val="Subtitle"/>
        <w:numPr>
          <w:ilvl w:val="0"/>
          <w:numId w:val="1"/>
        </w:numPr>
        <w:spacing w:line="480" w:lineRule="auto"/>
        <w:rPr>
          <w:rFonts w:ascii="Arial" w:hAnsi="Arial" w:cs="Arial"/>
        </w:rPr>
      </w:pPr>
      <w:r>
        <w:rPr>
          <w:rFonts w:ascii="Arial" w:hAnsi="Arial" w:cs="Arial"/>
        </w:rPr>
        <w:t>References</w:t>
      </w:r>
    </w:p>
    <w:p w14:paraId="75260057" w14:textId="38C6B85D" w:rsidR="006746FF" w:rsidRPr="006746FF" w:rsidRDefault="006746FF" w:rsidP="006746FF">
      <w:pPr>
        <w:spacing w:line="480" w:lineRule="auto"/>
        <w:jc w:val="both"/>
        <w:rPr>
          <w:rFonts w:ascii="Arial" w:hAnsi="Arial" w:cs="Arial"/>
          <w:sz w:val="24"/>
          <w:szCs w:val="24"/>
        </w:rPr>
      </w:pPr>
      <w:r w:rsidRPr="006746FF">
        <w:rPr>
          <w:rFonts w:ascii="Arial" w:hAnsi="Arial" w:cs="Arial"/>
          <w:sz w:val="24"/>
          <w:szCs w:val="24"/>
        </w:rPr>
        <w:t>Bechtold, E. (2024) ‘Regulating online harms: an examination of recent developments in the UK and the US through a free speech lens’, </w:t>
      </w:r>
      <w:r w:rsidRPr="006746FF">
        <w:rPr>
          <w:rFonts w:ascii="Arial" w:hAnsi="Arial" w:cs="Arial"/>
          <w:i/>
          <w:iCs/>
          <w:sz w:val="24"/>
          <w:szCs w:val="24"/>
        </w:rPr>
        <w:t>Journal of Media Law</w:t>
      </w:r>
      <w:r w:rsidRPr="006746FF">
        <w:rPr>
          <w:rFonts w:ascii="Arial" w:hAnsi="Arial" w:cs="Arial"/>
          <w:sz w:val="24"/>
          <w:szCs w:val="24"/>
        </w:rPr>
        <w:t>, 16(2), pp. 1–32. Available at: https://doi.org/10.1080/17577632.2024.2395094.</w:t>
      </w:r>
    </w:p>
    <w:p w14:paraId="19F8FBA0" w14:textId="75F6828B" w:rsidR="001D31EB" w:rsidRPr="001D31EB" w:rsidRDefault="001D31EB" w:rsidP="001D31EB">
      <w:pPr>
        <w:spacing w:line="480" w:lineRule="auto"/>
        <w:jc w:val="both"/>
        <w:rPr>
          <w:rFonts w:ascii="Arial" w:hAnsi="Arial" w:cs="Arial"/>
          <w:sz w:val="24"/>
          <w:szCs w:val="24"/>
        </w:rPr>
      </w:pPr>
      <w:r w:rsidRPr="001D31EB">
        <w:rPr>
          <w:rFonts w:ascii="Arial" w:hAnsi="Arial" w:cs="Arial"/>
          <w:sz w:val="24"/>
          <w:szCs w:val="24"/>
        </w:rPr>
        <w:t>Chun, J., Schroeder, C. and Elkins, K. (2025) ‘Comparative Global AI Regulation: Policy Perspectives from the EU, China, and the US’. Available at: https://doi.org/10.2139/ssrn.5104429.</w:t>
      </w:r>
    </w:p>
    <w:p w14:paraId="795C02A4" w14:textId="7663AA49" w:rsidR="009E232C" w:rsidRPr="009E232C" w:rsidRDefault="009E232C" w:rsidP="009E232C">
      <w:pPr>
        <w:spacing w:line="480" w:lineRule="auto"/>
        <w:jc w:val="both"/>
        <w:rPr>
          <w:rFonts w:ascii="Arial" w:hAnsi="Arial" w:cs="Arial"/>
          <w:sz w:val="24"/>
          <w:szCs w:val="24"/>
        </w:rPr>
      </w:pPr>
      <w:r w:rsidRPr="009E232C">
        <w:rPr>
          <w:rFonts w:ascii="Arial" w:hAnsi="Arial" w:cs="Arial"/>
          <w:sz w:val="24"/>
          <w:szCs w:val="24"/>
        </w:rPr>
        <w:t>Creemers, R. (2025) ‘The Regulation of Generative AI in China’. Available at: https://doi.org/10.2139/ssrn.5228697.</w:t>
      </w:r>
    </w:p>
    <w:p w14:paraId="286B8427" w14:textId="0B9A5C72" w:rsidR="00A21C59" w:rsidRDefault="00A21C59" w:rsidP="00A21C59">
      <w:pPr>
        <w:spacing w:line="480" w:lineRule="auto"/>
        <w:jc w:val="both"/>
        <w:rPr>
          <w:rFonts w:ascii="Arial" w:hAnsi="Arial" w:cs="Arial"/>
          <w:sz w:val="24"/>
          <w:szCs w:val="24"/>
        </w:rPr>
      </w:pPr>
      <w:r w:rsidRPr="00A21C59">
        <w:rPr>
          <w:rFonts w:ascii="Arial" w:hAnsi="Arial" w:cs="Arial"/>
          <w:sz w:val="24"/>
          <w:szCs w:val="24"/>
        </w:rPr>
        <w:t>Ding, L., Lawson, C. and Shapira, P. (2025) ‘Rise of Generative Artificial Intelligence in Science’, </w:t>
      </w:r>
      <w:proofErr w:type="spellStart"/>
      <w:r w:rsidRPr="00A21C59">
        <w:rPr>
          <w:rFonts w:ascii="Arial" w:hAnsi="Arial" w:cs="Arial"/>
          <w:i/>
          <w:iCs/>
          <w:sz w:val="24"/>
          <w:szCs w:val="24"/>
        </w:rPr>
        <w:t>Scientometrics</w:t>
      </w:r>
      <w:proofErr w:type="spellEnd"/>
      <w:r w:rsidRPr="00A21C59">
        <w:rPr>
          <w:rFonts w:ascii="Arial" w:hAnsi="Arial" w:cs="Arial"/>
          <w:sz w:val="24"/>
          <w:szCs w:val="24"/>
        </w:rPr>
        <w:t xml:space="preserve"> [Preprint]. Available at: </w:t>
      </w:r>
      <w:hyperlink r:id="rId7" w:history="1">
        <w:r w:rsidR="008C5F43" w:rsidRPr="00A21C59">
          <w:rPr>
            <w:rStyle w:val="Hyperlink"/>
            <w:rFonts w:ascii="Arial" w:hAnsi="Arial" w:cs="Arial"/>
            <w:sz w:val="24"/>
            <w:szCs w:val="24"/>
          </w:rPr>
          <w:t>https://doi.org/10.1007/s11192-025-05413-z</w:t>
        </w:r>
      </w:hyperlink>
      <w:r w:rsidRPr="00A21C59">
        <w:rPr>
          <w:rFonts w:ascii="Arial" w:hAnsi="Arial" w:cs="Arial"/>
          <w:sz w:val="24"/>
          <w:szCs w:val="24"/>
        </w:rPr>
        <w:t>.</w:t>
      </w:r>
    </w:p>
    <w:p w14:paraId="706F05D9" w14:textId="5ECB2C9D" w:rsidR="00394AED" w:rsidRDefault="00394AED" w:rsidP="00A21C59">
      <w:pPr>
        <w:spacing w:line="480" w:lineRule="auto"/>
        <w:jc w:val="both"/>
        <w:rPr>
          <w:rFonts w:ascii="Arial" w:hAnsi="Arial" w:cs="Arial"/>
          <w:sz w:val="24"/>
          <w:szCs w:val="24"/>
        </w:rPr>
      </w:pPr>
      <w:r w:rsidRPr="00394AED">
        <w:rPr>
          <w:rFonts w:ascii="Arial" w:hAnsi="Arial" w:cs="Arial"/>
          <w:sz w:val="24"/>
          <w:szCs w:val="24"/>
        </w:rPr>
        <w:t>Kusche, I. (2024) ‘Possible harms of artificial intelligence and the EU AI act: fundamental rights and risk’, </w:t>
      </w:r>
      <w:r w:rsidRPr="00394AED">
        <w:rPr>
          <w:rFonts w:ascii="Arial" w:hAnsi="Arial" w:cs="Arial"/>
          <w:i/>
          <w:iCs/>
          <w:sz w:val="24"/>
          <w:szCs w:val="24"/>
        </w:rPr>
        <w:t>Journal of Risk Research</w:t>
      </w:r>
      <w:r w:rsidRPr="00394AED">
        <w:rPr>
          <w:rFonts w:ascii="Arial" w:hAnsi="Arial" w:cs="Arial"/>
          <w:sz w:val="24"/>
          <w:szCs w:val="24"/>
        </w:rPr>
        <w:t xml:space="preserve">, pp. 1–14. Available at: </w:t>
      </w:r>
      <w:hyperlink r:id="rId8" w:history="1">
        <w:r w:rsidR="001C2AED" w:rsidRPr="00394AED">
          <w:rPr>
            <w:rStyle w:val="Hyperlink"/>
            <w:rFonts w:ascii="Arial" w:hAnsi="Arial" w:cs="Arial"/>
            <w:sz w:val="24"/>
            <w:szCs w:val="24"/>
          </w:rPr>
          <w:t>https://doi.org/10.1080/13669877.2024.2350720</w:t>
        </w:r>
      </w:hyperlink>
      <w:r w:rsidRPr="00394AED">
        <w:rPr>
          <w:rFonts w:ascii="Arial" w:hAnsi="Arial" w:cs="Arial"/>
          <w:sz w:val="24"/>
          <w:szCs w:val="24"/>
        </w:rPr>
        <w:t>.</w:t>
      </w:r>
    </w:p>
    <w:p w14:paraId="155FB254" w14:textId="52F658CD" w:rsidR="001C2AED" w:rsidRDefault="001C2AED" w:rsidP="00A21C59">
      <w:pPr>
        <w:spacing w:line="480" w:lineRule="auto"/>
        <w:jc w:val="both"/>
        <w:rPr>
          <w:rFonts w:ascii="Arial" w:hAnsi="Arial" w:cs="Arial"/>
          <w:sz w:val="24"/>
          <w:szCs w:val="24"/>
        </w:rPr>
      </w:pPr>
      <w:r w:rsidRPr="001C2AED">
        <w:rPr>
          <w:rFonts w:ascii="Arial" w:hAnsi="Arial" w:cs="Arial"/>
          <w:sz w:val="24"/>
          <w:szCs w:val="24"/>
        </w:rPr>
        <w:t>Longpre, S. </w:t>
      </w:r>
      <w:r w:rsidRPr="001C2AED">
        <w:rPr>
          <w:rFonts w:ascii="Arial" w:hAnsi="Arial" w:cs="Arial"/>
          <w:i/>
          <w:iCs/>
          <w:sz w:val="24"/>
          <w:szCs w:val="24"/>
        </w:rPr>
        <w:t>et al.</w:t>
      </w:r>
      <w:r w:rsidRPr="001C2AED">
        <w:rPr>
          <w:rFonts w:ascii="Arial" w:hAnsi="Arial" w:cs="Arial"/>
          <w:sz w:val="24"/>
          <w:szCs w:val="24"/>
        </w:rPr>
        <w:t> (2024) ‘A large-scale audit of dataset licensing and attribution in AI’, </w:t>
      </w:r>
      <w:r w:rsidRPr="001C2AED">
        <w:rPr>
          <w:rFonts w:ascii="Arial" w:hAnsi="Arial" w:cs="Arial"/>
          <w:i/>
          <w:iCs/>
          <w:sz w:val="24"/>
          <w:szCs w:val="24"/>
        </w:rPr>
        <w:t>Nature Machine Intelligence</w:t>
      </w:r>
      <w:r w:rsidRPr="001C2AED">
        <w:rPr>
          <w:rFonts w:ascii="Arial" w:hAnsi="Arial" w:cs="Arial"/>
          <w:sz w:val="24"/>
          <w:szCs w:val="24"/>
        </w:rPr>
        <w:t>, 6(8), pp. 975–987. Available at: https://doi.org/10.1038/s42256-024-00878-8.</w:t>
      </w:r>
    </w:p>
    <w:p w14:paraId="40852334" w14:textId="3616D91D" w:rsidR="008C5F43" w:rsidRDefault="008C5F43" w:rsidP="008C5F43">
      <w:pPr>
        <w:spacing w:line="480" w:lineRule="auto"/>
        <w:jc w:val="both"/>
        <w:rPr>
          <w:rFonts w:ascii="Arial" w:hAnsi="Arial" w:cs="Arial"/>
          <w:sz w:val="24"/>
          <w:szCs w:val="24"/>
        </w:rPr>
      </w:pPr>
      <w:r w:rsidRPr="008C5F43">
        <w:rPr>
          <w:rFonts w:ascii="Arial" w:hAnsi="Arial" w:cs="Arial"/>
          <w:sz w:val="24"/>
          <w:szCs w:val="24"/>
        </w:rPr>
        <w:lastRenderedPageBreak/>
        <w:t>Nicholas Kluge Corrêa </w:t>
      </w:r>
      <w:r w:rsidRPr="008C5F43">
        <w:rPr>
          <w:rFonts w:ascii="Arial" w:hAnsi="Arial" w:cs="Arial"/>
          <w:i/>
          <w:iCs/>
          <w:sz w:val="24"/>
          <w:szCs w:val="24"/>
        </w:rPr>
        <w:t>et al.</w:t>
      </w:r>
      <w:r w:rsidRPr="008C5F43">
        <w:rPr>
          <w:rFonts w:ascii="Arial" w:hAnsi="Arial" w:cs="Arial"/>
          <w:sz w:val="24"/>
          <w:szCs w:val="24"/>
        </w:rPr>
        <w:t> (2023) ‘Worldwide AI ethics: A review of 200 guidelines and recommendations for AI governance.’, </w:t>
      </w:r>
      <w:proofErr w:type="spellStart"/>
      <w:r w:rsidRPr="008C5F43">
        <w:rPr>
          <w:rFonts w:ascii="Arial" w:hAnsi="Arial" w:cs="Arial"/>
          <w:i/>
          <w:iCs/>
          <w:sz w:val="24"/>
          <w:szCs w:val="24"/>
        </w:rPr>
        <w:t>arXiv</w:t>
      </w:r>
      <w:proofErr w:type="spellEnd"/>
      <w:r w:rsidRPr="008C5F43">
        <w:rPr>
          <w:rFonts w:ascii="Arial" w:hAnsi="Arial" w:cs="Arial"/>
          <w:i/>
          <w:iCs/>
          <w:sz w:val="24"/>
          <w:szCs w:val="24"/>
        </w:rPr>
        <w:t xml:space="preserve"> (Cornell University)</w:t>
      </w:r>
      <w:r w:rsidRPr="008C5F43">
        <w:rPr>
          <w:rFonts w:ascii="Arial" w:hAnsi="Arial" w:cs="Arial"/>
          <w:sz w:val="24"/>
          <w:szCs w:val="24"/>
        </w:rPr>
        <w:t xml:space="preserve">, 4(10), pp. 100857–100857. Available at: </w:t>
      </w:r>
      <w:hyperlink r:id="rId9" w:history="1">
        <w:r w:rsidR="00D10F6F" w:rsidRPr="008C5F43">
          <w:rPr>
            <w:rStyle w:val="Hyperlink"/>
            <w:rFonts w:ascii="Arial" w:hAnsi="Arial" w:cs="Arial"/>
            <w:sz w:val="24"/>
            <w:szCs w:val="24"/>
          </w:rPr>
          <w:t>https://doi.org/10.1016/j.patter.2023.100857</w:t>
        </w:r>
      </w:hyperlink>
      <w:r w:rsidRPr="008C5F43">
        <w:rPr>
          <w:rFonts w:ascii="Arial" w:hAnsi="Arial" w:cs="Arial"/>
          <w:sz w:val="24"/>
          <w:szCs w:val="24"/>
        </w:rPr>
        <w:t>.</w:t>
      </w:r>
    </w:p>
    <w:p w14:paraId="26144DCC" w14:textId="6E98AA42" w:rsidR="00EC752D" w:rsidRDefault="00EC752D" w:rsidP="008C5F43">
      <w:pPr>
        <w:spacing w:line="480" w:lineRule="auto"/>
        <w:jc w:val="both"/>
        <w:rPr>
          <w:rFonts w:ascii="Arial" w:hAnsi="Arial" w:cs="Arial"/>
          <w:sz w:val="24"/>
          <w:szCs w:val="24"/>
        </w:rPr>
      </w:pPr>
      <w:r w:rsidRPr="00EC752D">
        <w:rPr>
          <w:rFonts w:ascii="Arial" w:hAnsi="Arial" w:cs="Arial"/>
          <w:sz w:val="24"/>
          <w:szCs w:val="24"/>
        </w:rPr>
        <w:t>Vake</w:t>
      </w:r>
      <w:r>
        <w:rPr>
          <w:rFonts w:ascii="Arial" w:hAnsi="Arial" w:cs="Arial"/>
          <w:sz w:val="24"/>
          <w:szCs w:val="24"/>
        </w:rPr>
        <w:t xml:space="preserve">, D. </w:t>
      </w:r>
      <w:r w:rsidRPr="00EC752D">
        <w:rPr>
          <w:rFonts w:ascii="Arial" w:hAnsi="Arial" w:cs="Arial"/>
          <w:sz w:val="24"/>
          <w:szCs w:val="24"/>
        </w:rPr>
        <w:t> </w:t>
      </w:r>
      <w:r w:rsidRPr="00EC752D">
        <w:rPr>
          <w:rFonts w:ascii="Arial" w:hAnsi="Arial" w:cs="Arial"/>
          <w:i/>
          <w:iCs/>
          <w:sz w:val="24"/>
          <w:szCs w:val="24"/>
        </w:rPr>
        <w:t>et al.</w:t>
      </w:r>
      <w:r w:rsidRPr="00EC752D">
        <w:rPr>
          <w:rFonts w:ascii="Arial" w:hAnsi="Arial" w:cs="Arial"/>
          <w:sz w:val="24"/>
          <w:szCs w:val="24"/>
        </w:rPr>
        <w:t> (2025) ‘Is Open Source the Future of AI? A Data-Driven Approach’, </w:t>
      </w:r>
      <w:r w:rsidRPr="00EC752D">
        <w:rPr>
          <w:rFonts w:ascii="Arial" w:hAnsi="Arial" w:cs="Arial"/>
          <w:i/>
          <w:iCs/>
          <w:sz w:val="24"/>
          <w:szCs w:val="24"/>
        </w:rPr>
        <w:t>Applied Sciences</w:t>
      </w:r>
      <w:r w:rsidRPr="00EC752D">
        <w:rPr>
          <w:rFonts w:ascii="Arial" w:hAnsi="Arial" w:cs="Arial"/>
          <w:sz w:val="24"/>
          <w:szCs w:val="24"/>
        </w:rPr>
        <w:t>, 15(5), pp. 2790–2790. Available at: https://doi.org/10.3390/app15052790.</w:t>
      </w:r>
    </w:p>
    <w:p w14:paraId="5177FBA5" w14:textId="77777777" w:rsidR="00D10F6F" w:rsidRPr="00D10F6F" w:rsidRDefault="00D10F6F" w:rsidP="00D10F6F">
      <w:pPr>
        <w:spacing w:line="480" w:lineRule="auto"/>
        <w:jc w:val="both"/>
        <w:rPr>
          <w:rFonts w:ascii="Arial" w:hAnsi="Arial" w:cs="Arial"/>
          <w:sz w:val="24"/>
          <w:szCs w:val="24"/>
        </w:rPr>
      </w:pPr>
      <w:r w:rsidRPr="00D10F6F">
        <w:rPr>
          <w:rFonts w:ascii="Arial" w:hAnsi="Arial" w:cs="Arial"/>
          <w:sz w:val="24"/>
          <w:szCs w:val="24"/>
        </w:rPr>
        <w:t>Wagner, J.K., Doerr, M. and Schmit, C.D. (2024) ‘AI Governance: A Challenge for Public Health’, </w:t>
      </w:r>
      <w:r w:rsidRPr="00D10F6F">
        <w:rPr>
          <w:rFonts w:ascii="Arial" w:hAnsi="Arial" w:cs="Arial"/>
          <w:i/>
          <w:iCs/>
          <w:sz w:val="24"/>
          <w:szCs w:val="24"/>
        </w:rPr>
        <w:t>JMIR Public Health and Surveillance</w:t>
      </w:r>
      <w:r w:rsidRPr="00D10F6F">
        <w:rPr>
          <w:rFonts w:ascii="Arial" w:hAnsi="Arial" w:cs="Arial"/>
          <w:sz w:val="24"/>
          <w:szCs w:val="24"/>
        </w:rPr>
        <w:t>, 10, pp. e58358–e58358. Available at: https://doi.org/10.2196/58358.</w:t>
      </w:r>
    </w:p>
    <w:p w14:paraId="02FDB8D2" w14:textId="77777777" w:rsidR="00D10F6F" w:rsidRPr="00D10F6F" w:rsidRDefault="00D10F6F" w:rsidP="00D10F6F">
      <w:pPr>
        <w:spacing w:line="480" w:lineRule="auto"/>
        <w:jc w:val="both"/>
        <w:rPr>
          <w:rFonts w:ascii="Arial" w:hAnsi="Arial" w:cs="Arial"/>
          <w:sz w:val="24"/>
          <w:szCs w:val="24"/>
        </w:rPr>
      </w:pPr>
      <w:r w:rsidRPr="00D10F6F">
        <w:rPr>
          <w:rFonts w:ascii="Arial" w:hAnsi="Arial" w:cs="Arial"/>
          <w:sz w:val="24"/>
          <w:szCs w:val="24"/>
        </w:rPr>
        <w:t>‌</w:t>
      </w:r>
    </w:p>
    <w:p w14:paraId="003ADC4E" w14:textId="77777777" w:rsidR="00D10F6F" w:rsidRPr="008C5F43" w:rsidRDefault="00D10F6F" w:rsidP="008C5F43">
      <w:pPr>
        <w:spacing w:line="480" w:lineRule="auto"/>
        <w:jc w:val="both"/>
        <w:rPr>
          <w:rFonts w:ascii="Arial" w:hAnsi="Arial" w:cs="Arial"/>
          <w:sz w:val="24"/>
          <w:szCs w:val="24"/>
        </w:rPr>
      </w:pPr>
    </w:p>
    <w:p w14:paraId="4EA44879" w14:textId="77777777" w:rsidR="008C5F43" w:rsidRPr="008C5F43" w:rsidRDefault="008C5F43" w:rsidP="008C5F43">
      <w:pPr>
        <w:spacing w:line="480" w:lineRule="auto"/>
        <w:jc w:val="both"/>
        <w:rPr>
          <w:rFonts w:ascii="Arial" w:hAnsi="Arial" w:cs="Arial"/>
          <w:sz w:val="24"/>
          <w:szCs w:val="24"/>
        </w:rPr>
      </w:pPr>
      <w:r w:rsidRPr="008C5F43">
        <w:rPr>
          <w:rFonts w:ascii="Arial" w:hAnsi="Arial" w:cs="Arial"/>
          <w:sz w:val="24"/>
          <w:szCs w:val="24"/>
        </w:rPr>
        <w:t>‌</w:t>
      </w:r>
    </w:p>
    <w:p w14:paraId="737AF8A1" w14:textId="77777777" w:rsidR="008C5F43" w:rsidRPr="00A21C59" w:rsidRDefault="008C5F43" w:rsidP="00A21C59">
      <w:pPr>
        <w:spacing w:line="480" w:lineRule="auto"/>
        <w:jc w:val="both"/>
        <w:rPr>
          <w:rFonts w:ascii="Arial" w:hAnsi="Arial" w:cs="Arial"/>
          <w:sz w:val="24"/>
          <w:szCs w:val="24"/>
        </w:rPr>
      </w:pPr>
    </w:p>
    <w:p w14:paraId="3FB99167" w14:textId="77777777" w:rsidR="00A21C59" w:rsidRPr="00A21C59" w:rsidRDefault="00A21C59" w:rsidP="00A21C59">
      <w:r w:rsidRPr="00A21C59">
        <w:t>‌</w:t>
      </w:r>
    </w:p>
    <w:p w14:paraId="216C55A6" w14:textId="77777777" w:rsidR="00A21C59" w:rsidRPr="00A21C59" w:rsidRDefault="00A21C59" w:rsidP="00A21C59"/>
    <w:p w14:paraId="3A80E230" w14:textId="77777777" w:rsidR="00A21C59" w:rsidRPr="00A21C59" w:rsidRDefault="00A21C59" w:rsidP="00A21C59"/>
    <w:p w14:paraId="266346A8" w14:textId="77777777" w:rsidR="00A07838" w:rsidRPr="00A07838" w:rsidRDefault="00A07838" w:rsidP="00A07838"/>
    <w:p w14:paraId="4B6E5BED" w14:textId="77777777" w:rsidR="00A07838" w:rsidRPr="00A07838" w:rsidRDefault="00A07838" w:rsidP="00A07838"/>
    <w:sectPr w:rsidR="00A07838" w:rsidRPr="00A0783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14002" w14:textId="77777777" w:rsidR="00900D6D" w:rsidRDefault="00900D6D" w:rsidP="00272D85">
      <w:pPr>
        <w:spacing w:after="0" w:line="240" w:lineRule="auto"/>
      </w:pPr>
      <w:r>
        <w:separator/>
      </w:r>
    </w:p>
  </w:endnote>
  <w:endnote w:type="continuationSeparator" w:id="0">
    <w:p w14:paraId="461D35D2" w14:textId="77777777" w:rsidR="00900D6D" w:rsidRDefault="00900D6D" w:rsidP="00272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24546"/>
      <w:docPartObj>
        <w:docPartGallery w:val="Page Numbers (Bottom of Page)"/>
        <w:docPartUnique/>
      </w:docPartObj>
    </w:sdtPr>
    <w:sdtContent>
      <w:p w14:paraId="74A3EC20" w14:textId="51FDFFD4" w:rsidR="00272D85" w:rsidRDefault="00272D85">
        <w:pPr>
          <w:pStyle w:val="Footer"/>
          <w:jc w:val="center"/>
        </w:pPr>
        <w:r>
          <w:fldChar w:fldCharType="begin"/>
        </w:r>
        <w:r>
          <w:instrText>PAGE   \* MERGEFORMAT</w:instrText>
        </w:r>
        <w:r>
          <w:fldChar w:fldCharType="separate"/>
        </w:r>
        <w:r>
          <w:t>2</w:t>
        </w:r>
        <w:r>
          <w:fldChar w:fldCharType="end"/>
        </w:r>
      </w:p>
    </w:sdtContent>
  </w:sdt>
  <w:p w14:paraId="47F4783E" w14:textId="77777777" w:rsidR="00272D85" w:rsidRDefault="00272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2C81" w14:textId="77777777" w:rsidR="00900D6D" w:rsidRDefault="00900D6D" w:rsidP="00272D85">
      <w:pPr>
        <w:spacing w:after="0" w:line="240" w:lineRule="auto"/>
      </w:pPr>
      <w:r>
        <w:separator/>
      </w:r>
    </w:p>
  </w:footnote>
  <w:footnote w:type="continuationSeparator" w:id="0">
    <w:p w14:paraId="753F123C" w14:textId="77777777" w:rsidR="00900D6D" w:rsidRDefault="00900D6D" w:rsidP="00272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287E"/>
    <w:multiLevelType w:val="hybridMultilevel"/>
    <w:tmpl w:val="67BCEEAC"/>
    <w:lvl w:ilvl="0" w:tplc="16BA20D8">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2999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38"/>
    <w:rsid w:val="00023038"/>
    <w:rsid w:val="00047A12"/>
    <w:rsid w:val="00087863"/>
    <w:rsid w:val="000C151A"/>
    <w:rsid w:val="001C2AED"/>
    <w:rsid w:val="001C7259"/>
    <w:rsid w:val="001D31EB"/>
    <w:rsid w:val="00223915"/>
    <w:rsid w:val="00234737"/>
    <w:rsid w:val="00257BBA"/>
    <w:rsid w:val="00272D85"/>
    <w:rsid w:val="003351A4"/>
    <w:rsid w:val="00394AED"/>
    <w:rsid w:val="00423082"/>
    <w:rsid w:val="004416BA"/>
    <w:rsid w:val="004A28F8"/>
    <w:rsid w:val="0051523E"/>
    <w:rsid w:val="00551727"/>
    <w:rsid w:val="0055595D"/>
    <w:rsid w:val="005C13F6"/>
    <w:rsid w:val="005C4102"/>
    <w:rsid w:val="00633DC1"/>
    <w:rsid w:val="006746FF"/>
    <w:rsid w:val="00696868"/>
    <w:rsid w:val="007D3C95"/>
    <w:rsid w:val="007E6ABD"/>
    <w:rsid w:val="00823443"/>
    <w:rsid w:val="008C0BB7"/>
    <w:rsid w:val="008C5F43"/>
    <w:rsid w:val="00900D6D"/>
    <w:rsid w:val="00974C3E"/>
    <w:rsid w:val="009A1D28"/>
    <w:rsid w:val="009C1BE0"/>
    <w:rsid w:val="009E232C"/>
    <w:rsid w:val="00A07838"/>
    <w:rsid w:val="00A21C59"/>
    <w:rsid w:val="00A914CB"/>
    <w:rsid w:val="00AD15B8"/>
    <w:rsid w:val="00B72CA7"/>
    <w:rsid w:val="00B72E91"/>
    <w:rsid w:val="00BD283C"/>
    <w:rsid w:val="00BE3A5E"/>
    <w:rsid w:val="00C44C5C"/>
    <w:rsid w:val="00C517B6"/>
    <w:rsid w:val="00C63180"/>
    <w:rsid w:val="00D10F6F"/>
    <w:rsid w:val="00E2356A"/>
    <w:rsid w:val="00E87ED8"/>
    <w:rsid w:val="00EC752D"/>
    <w:rsid w:val="00EF0CC1"/>
    <w:rsid w:val="00F038A8"/>
    <w:rsid w:val="00F14C61"/>
    <w:rsid w:val="00F865D7"/>
    <w:rsid w:val="00FB5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4B7CC"/>
  <w15:chartTrackingRefBased/>
  <w15:docId w15:val="{D5BD6B45-A793-4D25-8CFE-ECE27BAF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838"/>
    <w:rPr>
      <w:rFonts w:eastAsiaTheme="majorEastAsia" w:cstheme="majorBidi"/>
      <w:color w:val="272727" w:themeColor="text1" w:themeTint="D8"/>
    </w:rPr>
  </w:style>
  <w:style w:type="paragraph" w:styleId="Title">
    <w:name w:val="Title"/>
    <w:basedOn w:val="Normal"/>
    <w:next w:val="Normal"/>
    <w:link w:val="TitleChar"/>
    <w:uiPriority w:val="10"/>
    <w:qFormat/>
    <w:rsid w:val="00A07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838"/>
    <w:pPr>
      <w:spacing w:before="160"/>
      <w:jc w:val="center"/>
    </w:pPr>
    <w:rPr>
      <w:i/>
      <w:iCs/>
      <w:color w:val="404040" w:themeColor="text1" w:themeTint="BF"/>
    </w:rPr>
  </w:style>
  <w:style w:type="character" w:customStyle="1" w:styleId="QuoteChar">
    <w:name w:val="Quote Char"/>
    <w:basedOn w:val="DefaultParagraphFont"/>
    <w:link w:val="Quote"/>
    <w:uiPriority w:val="29"/>
    <w:rsid w:val="00A07838"/>
    <w:rPr>
      <w:i/>
      <w:iCs/>
      <w:color w:val="404040" w:themeColor="text1" w:themeTint="BF"/>
    </w:rPr>
  </w:style>
  <w:style w:type="paragraph" w:styleId="ListParagraph">
    <w:name w:val="List Paragraph"/>
    <w:basedOn w:val="Normal"/>
    <w:uiPriority w:val="34"/>
    <w:qFormat/>
    <w:rsid w:val="00A07838"/>
    <w:pPr>
      <w:ind w:left="720"/>
      <w:contextualSpacing/>
    </w:pPr>
  </w:style>
  <w:style w:type="character" w:styleId="IntenseEmphasis">
    <w:name w:val="Intense Emphasis"/>
    <w:basedOn w:val="DefaultParagraphFont"/>
    <w:uiPriority w:val="21"/>
    <w:qFormat/>
    <w:rsid w:val="00A07838"/>
    <w:rPr>
      <w:i/>
      <w:iCs/>
      <w:color w:val="0F4761" w:themeColor="accent1" w:themeShade="BF"/>
    </w:rPr>
  </w:style>
  <w:style w:type="paragraph" w:styleId="IntenseQuote">
    <w:name w:val="Intense Quote"/>
    <w:basedOn w:val="Normal"/>
    <w:next w:val="Normal"/>
    <w:link w:val="IntenseQuoteChar"/>
    <w:uiPriority w:val="30"/>
    <w:qFormat/>
    <w:rsid w:val="00A07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838"/>
    <w:rPr>
      <w:i/>
      <w:iCs/>
      <w:color w:val="0F4761" w:themeColor="accent1" w:themeShade="BF"/>
    </w:rPr>
  </w:style>
  <w:style w:type="character" w:styleId="IntenseReference">
    <w:name w:val="Intense Reference"/>
    <w:basedOn w:val="DefaultParagraphFont"/>
    <w:uiPriority w:val="32"/>
    <w:qFormat/>
    <w:rsid w:val="00A07838"/>
    <w:rPr>
      <w:b/>
      <w:bCs/>
      <w:smallCaps/>
      <w:color w:val="0F4761" w:themeColor="accent1" w:themeShade="BF"/>
      <w:spacing w:val="5"/>
    </w:rPr>
  </w:style>
  <w:style w:type="character" w:styleId="Hyperlink">
    <w:name w:val="Hyperlink"/>
    <w:basedOn w:val="DefaultParagraphFont"/>
    <w:uiPriority w:val="99"/>
    <w:unhideWhenUsed/>
    <w:rsid w:val="008C5F43"/>
    <w:rPr>
      <w:color w:val="467886" w:themeColor="hyperlink"/>
      <w:u w:val="single"/>
    </w:rPr>
  </w:style>
  <w:style w:type="character" w:styleId="UnresolvedMention">
    <w:name w:val="Unresolved Mention"/>
    <w:basedOn w:val="DefaultParagraphFont"/>
    <w:uiPriority w:val="99"/>
    <w:semiHidden/>
    <w:unhideWhenUsed/>
    <w:rsid w:val="008C5F43"/>
    <w:rPr>
      <w:color w:val="605E5C"/>
      <w:shd w:val="clear" w:color="auto" w:fill="E1DFDD"/>
    </w:rPr>
  </w:style>
  <w:style w:type="paragraph" w:styleId="Header">
    <w:name w:val="header"/>
    <w:basedOn w:val="Normal"/>
    <w:link w:val="HeaderChar"/>
    <w:uiPriority w:val="99"/>
    <w:unhideWhenUsed/>
    <w:rsid w:val="00272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D85"/>
  </w:style>
  <w:style w:type="paragraph" w:styleId="Footer">
    <w:name w:val="footer"/>
    <w:basedOn w:val="Normal"/>
    <w:link w:val="FooterChar"/>
    <w:uiPriority w:val="99"/>
    <w:unhideWhenUsed/>
    <w:rsid w:val="00272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669877.2024.2350720" TargetMode="External"/><Relationship Id="rId3" Type="http://schemas.openxmlformats.org/officeDocument/2006/relationships/settings" Target="settings.xml"/><Relationship Id="rId7" Type="http://schemas.openxmlformats.org/officeDocument/2006/relationships/hyperlink" Target="https://doi.org/10.1007/s11192-025-05413-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16/j.patter.2023.1008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5065</TotalTime>
  <Pages>6</Pages>
  <Words>1274</Words>
  <Characters>7878</Characters>
  <Application>Microsoft Office Word</Application>
  <DocSecurity>0</DocSecurity>
  <Lines>133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Edney</dc:creator>
  <cp:keywords/>
  <dc:description/>
  <cp:lastModifiedBy>James Edney</cp:lastModifiedBy>
  <cp:revision>6</cp:revision>
  <dcterms:created xsi:type="dcterms:W3CDTF">2025-10-12T09:30:00Z</dcterms:created>
  <dcterms:modified xsi:type="dcterms:W3CDTF">2025-10-16T14:22:00Z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f4abd47a-4ca8-40d5-a81b-32d31b35368f</vt:lpwstr>
  </property>
</Properties>
</file>