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2A4A"/>
        </w:rPr>
        <w:t>信息安全管理制度</w:t>
      </w:r>
    </w:p>
    <w:p>
      <w:pPr>
        <w:pStyle w:val="Heading2"/>
      </w:pPr>
      <w:r>
        <w:rPr>
          <w:color w:val="445577"/>
        </w:rPr>
        <w:t>公司信息安全管理规范与责任体系</w:t>
      </w:r>
    </w:p>
    <w:p>
      <w:pPr>
        <w:jc w:val="center"/>
      </w:pPr>
      <w:r>
        <w:rPr>
          <w:color w:val="666666"/>
          <w:sz w:val="20"/>
        </w:rPr>
        <w:t>作者：信息安全部　　日期：2026-07-30</w:t>
      </w:r>
    </w:p>
    <w:p>
      <w:pPr>
        <w:jc w:val="center"/>
      </w:pPr>
      <w:r>
        <w:rPr>
          <w:color w:val="666666"/>
          <w:sz w:val="20"/>
        </w:rPr>
        <w:t>文档编号：ISM-2026-006</w:t>
      </w:r>
    </w:p>
    <w:p/>
    <w:p>
      <w:pPr>
        <w:pStyle w:val="Heading2"/>
      </w:pPr>
      <w:r>
        <w:rPr>
          <w:color w:val="1A2A4A"/>
        </w:rPr>
        <w:t>总则与适用范围</w:t>
      </w:r>
    </w:p>
    <w:p>
      <w:pPr>
        <w:spacing w:after="160" w:line="360" w:lineRule="auto"/>
      </w:pPr>
      <w:r>
        <w:t>为加强公司信息安全管理，保障信息资产保密性、完整性与可用性，依据相关法律法规与公司战略，制定本制度。本制度适用于公司全体员工及外包人员。</w:t>
      </w:r>
    </w:p>
    <w:p>
      <w:pPr>
        <w:spacing w:after="160" w:line="360" w:lineRule="auto"/>
      </w:pPr>
      <w:r>
        <w:t>信息安全管理坚持“谁主管谁负责、谁使用谁负责”原则，各级管理者对本领域信息安全负管理责任，每位员工对自身行为负直接责任。</w:t>
      </w:r>
    </w:p>
    <w:p>
      <w:pPr>
        <w:spacing w:after="160" w:line="360" w:lineRule="auto"/>
      </w:pPr>
      <w:r>
        <w:t>本制度是公司信息安全管理的纲领性文件，各业务领域可根据需要制定实施细则，但不得低于本制度要求。</w:t>
      </w:r>
    </w:p>
    <w:p>
      <w:pPr>
        <w:pStyle w:val="Heading2"/>
      </w:pPr>
      <w:r>
        <w:rPr>
          <w:color w:val="1A2A4A"/>
        </w:rPr>
        <w:t>人员与访问管理</w:t>
      </w:r>
    </w:p>
    <w:p>
      <w:pPr>
        <w:spacing w:after="160" w:line="360" w:lineRule="auto"/>
      </w:pPr>
      <w:r>
        <w:t>员工入职签订保密协议，离岗时及时收回系统权限与信息资产，关键岗位实行权限最小化与定期审阅，避免权限过度积累。</w:t>
      </w:r>
    </w:p>
    <w:p>
      <w:pPr>
        <w:spacing w:after="160" w:line="360" w:lineRule="auto"/>
      </w:pPr>
      <w:r>
        <w:t>账号实行实名制与专人专用，禁止共享账号。重要系统采用双因素认证，密码符合复杂度要求并定期更换，不得以明文方式存储或传输。</w:t>
      </w:r>
    </w:p>
    <w:p>
      <w:pPr>
        <w:spacing w:after="160" w:line="360" w:lineRule="auto"/>
      </w:pPr>
      <w:r>
        <w:t>第三方人员访问公司信息需经审批并签订保密协议，访问行为全程审计，访问权限按需授予并及时回收。</w:t>
      </w:r>
    </w:p>
    <w:p>
      <w:pPr>
        <w:pStyle w:val="Heading2"/>
      </w:pPr>
      <w:r>
        <w:rPr>
          <w:color w:val="1A2A4A"/>
        </w:rPr>
        <w:t>信息资产与数据安全</w:t>
      </w:r>
    </w:p>
    <w:p>
      <w:pPr>
        <w:spacing w:after="160" w:line="360" w:lineRule="auto"/>
      </w:pPr>
      <w:r>
        <w:t>信息资产按敏感度分级管理，不同级别信息采取差异化保护措施。机密与秘密级信息加密存储、限制访问、禁止外发，确需外发须经审批并脱敏。</w:t>
      </w:r>
    </w:p>
    <w:p>
      <w:pPr>
        <w:spacing w:after="160" w:line="360" w:lineRule="auto"/>
      </w:pPr>
      <w:r>
        <w:t>数据传输采用加密通道，移动存储介质登记管理，禁止使用未授权介质处理敏感信息。个人设备接入公司网络需满足安全基线。</w:t>
      </w:r>
    </w:p>
    <w:p>
      <w:pPr>
        <w:spacing w:after="160" w:line="360" w:lineRule="auto"/>
      </w:pPr>
      <w:r>
        <w:t>数据销毁遵循规范流程，确保不可恢复，销毁记录留存备查，防止敏感数据通过废弃设备或介质泄露。</w:t>
      </w:r>
    </w:p>
    <w:p>
      <w:pPr>
        <w:pStyle w:val="Heading2"/>
      </w:pPr>
      <w:r>
        <w:rPr>
          <w:color w:val="1A2A4A"/>
        </w:rPr>
        <w:t>应急与违规处理</w:t>
      </w:r>
    </w:p>
    <w:p>
      <w:pPr>
        <w:spacing w:after="160" w:line="360" w:lineRule="auto"/>
      </w:pPr>
      <w:r>
        <w:t>建立信息安全事件应急响应机制，发现安全事件立即报告并启动处置流程，最大限度降低损失，事后开展复盘与整改。</w:t>
      </w:r>
    </w:p>
    <w:p>
      <w:pPr>
        <w:spacing w:after="160" w:line="360" w:lineRule="auto"/>
      </w:pPr>
      <w:r>
        <w:t>对违反本制度的行为视情节轻重给予警告、通报、绩效扣分直至解除劳动合同等处理，造成损失的依法追究责任。</w:t>
      </w:r>
    </w:p>
    <w:p>
      <w:pPr>
        <w:spacing w:after="160" w:line="360" w:lineRule="auto"/>
      </w:pPr>
      <w:r>
        <w:t>本制度由信息安全部负责解释与修订，自发布之日起施行，全体员工应熟知并严格遵守。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