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系统运维操作手册</w:t>
      </w:r>
    </w:p>
    <w:p>
      <w:pPr>
        <w:pStyle w:val="Heading2"/>
      </w:pPr>
      <w:r>
        <w:rPr>
          <w:color w:val="445577"/>
        </w:rPr>
        <w:t>核心系统日常运维与操作规程</w:t>
      </w:r>
    </w:p>
    <w:p>
      <w:pPr>
        <w:jc w:val="center"/>
      </w:pPr>
      <w:r>
        <w:rPr>
          <w:color w:val="666666"/>
          <w:sz w:val="20"/>
        </w:rPr>
        <w:t>作者：系统运维部　　日期：2026-07-30</w:t>
      </w:r>
    </w:p>
    <w:p>
      <w:pPr>
        <w:jc w:val="center"/>
      </w:pPr>
      <w:r>
        <w:rPr>
          <w:color w:val="666666"/>
          <w:sz w:val="20"/>
        </w:rPr>
        <w:t>文档编号：SOP-2026-009</w:t>
      </w:r>
    </w:p>
    <w:p/>
    <w:p>
      <w:pPr>
        <w:pStyle w:val="Heading2"/>
      </w:pPr>
      <w:r>
        <w:rPr>
          <w:color w:val="1A2A4A"/>
        </w:rPr>
        <w:t>运维职责与制度</w:t>
      </w:r>
    </w:p>
    <w:p>
      <w:pPr>
        <w:spacing w:after="160" w:line="360" w:lineRule="auto"/>
      </w:pPr>
      <w:r>
        <w:t>本手册规范核心系统的日常运维操作，明确运维人员职责与操作标准，保障系统稳定、安全、高效运行。运维实行 7x24 值班制度，确保故障及时响应。</w:t>
      </w:r>
    </w:p>
    <w:p>
      <w:pPr>
        <w:spacing w:after="160" w:line="360" w:lineRule="auto"/>
      </w:pPr>
      <w:r>
        <w:t>运维人员须严格遵守操作规程，高危操作执行审批与双人复核，所有变更留存记录，做到操作可追溯、责任可追究。</w:t>
      </w:r>
    </w:p>
    <w:p>
      <w:pPr>
        <w:spacing w:after="160" w:line="360" w:lineRule="auto"/>
      </w:pPr>
      <w:r>
        <w:t>运维工作以预防为主，通过监控与巡检主动发现隐患，将问题消灭在影响业务之前。</w:t>
      </w:r>
    </w:p>
    <w:p>
      <w:pPr>
        <w:pStyle w:val="Heading2"/>
      </w:pPr>
      <w:r>
        <w:rPr>
          <w:color w:val="1A2A4A"/>
        </w:rPr>
        <w:t>日常巡检与监控</w:t>
      </w:r>
    </w:p>
    <w:p>
      <w:pPr>
        <w:spacing w:after="160" w:line="360" w:lineRule="auto"/>
      </w:pPr>
      <w:r>
        <w:t>日常巡检涵盖服务器资源、应用健康、数据库状态与网络连通性，按既定检查项与频次执行并记录，异常及时处理或上报。</w:t>
      </w:r>
    </w:p>
    <w:p>
      <w:pPr>
        <w:spacing w:after="160" w:line="360" w:lineRule="auto"/>
      </w:pPr>
      <w:r>
        <w:t>监控系统覆盖基础资源与应用指标，设置合理告警阈值与通知策略，避免告警风暴淹没关键告警，确保告警可执行。</w:t>
      </w:r>
    </w:p>
    <w:p>
      <w:pPr>
        <w:spacing w:after="160" w:line="360" w:lineRule="auto"/>
      </w:pPr>
      <w:r>
        <w:t>定期分析监控数据趋势，预判容量瓶颈并提前扩容，避免因资源不足导致的系统故障。</w:t>
      </w:r>
    </w:p>
    <w:p>
      <w:pPr>
        <w:pStyle w:val="Heading2"/>
      </w:pPr>
      <w:r>
        <w:rPr>
          <w:color w:val="1A2A4A"/>
        </w:rPr>
        <w:t>变更与发布操作</w:t>
      </w:r>
    </w:p>
    <w:p>
      <w:pPr>
        <w:spacing w:after="160" w:line="360" w:lineRule="auto"/>
      </w:pPr>
      <w:r>
        <w:t>所有变更须走变更管理流程，提交变更申请说明内容、影响与回滚方案，经审批后在维护窗口执行，高危变更安排专人值守。</w:t>
      </w:r>
    </w:p>
    <w:p>
      <w:pPr>
        <w:spacing w:after="160" w:line="360" w:lineRule="auto"/>
      </w:pPr>
      <w:r>
        <w:t>发布操作遵循灰度策略，先验证后放量，配合监控观察，异常立即回滚，确保发布安全可控。</w:t>
      </w:r>
    </w:p>
    <w:p>
      <w:pPr>
        <w:spacing w:after="160" w:line="360" w:lineRule="auto"/>
      </w:pPr>
      <w:r>
        <w:t>变更后更新配置文档与拓扑信息，保持文档与实际一致，为后续运维提供准确依据。</w:t>
      </w:r>
    </w:p>
    <w:p>
      <w:pPr>
        <w:pStyle w:val="Heading2"/>
      </w:pPr>
      <w:r>
        <w:rPr>
          <w:color w:val="1A2A4A"/>
        </w:rPr>
        <w:t>故障处理与交接班</w:t>
      </w:r>
    </w:p>
    <w:p>
      <w:pPr>
        <w:spacing w:after="160" w:line="360" w:lineRule="auto"/>
      </w:pPr>
      <w:r>
        <w:t>故障处理遵循“先恢复业务、后定位根因”原则，优先通过切换、重启等手段恢复服务，再深入分析根因并彻底修复。</w:t>
      </w:r>
    </w:p>
    <w:p>
      <w:pPr>
        <w:spacing w:after="160" w:line="360" w:lineRule="auto"/>
      </w:pPr>
      <w:r>
        <w:t>故障处理全程记录时间线与操作，形成故障报告，复盘改进并纳入知识库，避免同类故障复发。</w:t>
      </w:r>
    </w:p>
    <w:p>
      <w:pPr>
        <w:spacing w:after="160" w:line="360" w:lineRule="auto"/>
      </w:pPr>
      <w:r>
        <w:t>交接班执行书面或系统交接，交接内容涵盖系统状态、未处理事项与待办风险，确保工作连续不断档。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