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A4A"/>
        </w:rPr>
        <w:t>数据分类分级标准</w:t>
      </w:r>
    </w:p>
    <w:p>
      <w:pPr>
        <w:pStyle w:val="Heading2"/>
      </w:pPr>
      <w:r>
        <w:rPr>
          <w:color w:val="445577"/>
        </w:rPr>
        <w:t>企业数据分类分级与管理规范</w:t>
      </w:r>
    </w:p>
    <w:p>
      <w:pPr>
        <w:jc w:val="center"/>
      </w:pPr>
      <w:r>
        <w:rPr>
          <w:color w:val="666666"/>
          <w:sz w:val="20"/>
        </w:rPr>
        <w:t>作者：数据治理办公室　　日期：2026-07-30</w:t>
      </w:r>
    </w:p>
    <w:p>
      <w:pPr>
        <w:jc w:val="center"/>
      </w:pPr>
      <w:r>
        <w:rPr>
          <w:color w:val="666666"/>
          <w:sz w:val="20"/>
        </w:rPr>
        <w:t>文档编号：CLS-2026-010</w:t>
      </w:r>
    </w:p>
    <w:p/>
    <w:p>
      <w:pPr>
        <w:pStyle w:val="Heading2"/>
      </w:pPr>
      <w:r>
        <w:rPr>
          <w:color w:val="1A2A4A"/>
        </w:rPr>
        <w:t>标准目的与原则</w:t>
      </w:r>
    </w:p>
    <w:p>
      <w:pPr>
        <w:spacing w:after="160" w:line="360" w:lineRule="auto"/>
      </w:pPr>
      <w:r>
        <w:t>数据分类分级是数据安全治理与精细化管理的基础。本标准规范公司数据的分类维度与分级规则，为差异化保护与合规管理提供依据。</w:t>
      </w:r>
    </w:p>
    <w:p>
      <w:pPr>
        <w:spacing w:after="160" w:line="360" w:lineRule="auto"/>
      </w:pPr>
      <w:r>
        <w:t>分类分级遵循“业务相关、科学合理、就高不就低、动态调整”原则，既反映数据业务属性，又满足安全保护要求。</w:t>
      </w:r>
    </w:p>
    <w:p>
      <w:pPr>
        <w:spacing w:after="160" w:line="360" w:lineRule="auto"/>
      </w:pPr>
      <w:r>
        <w:t>本标准适用于公司所有数据资产，各业务领域在执行中可细化但不得违背本标准的核心规则。</w:t>
      </w:r>
    </w:p>
    <w:p>
      <w:pPr>
        <w:pStyle w:val="Heading2"/>
      </w:pPr>
      <w:r>
        <w:rPr>
          <w:color w:val="1A2A4A"/>
        </w:rPr>
        <w:t>数据分类框架</w:t>
      </w:r>
    </w:p>
    <w:p>
      <w:pPr>
        <w:spacing w:after="160" w:line="360" w:lineRule="auto"/>
      </w:pPr>
      <w:r>
        <w:t>数据按业务域分类，涵盖客户、产品、交易、财务、人力、运营与技术等类别，每类别下设子类，形成层次化分类体系，便于管理与检索。</w:t>
      </w:r>
    </w:p>
    <w:p>
      <w:pPr>
        <w:spacing w:after="160" w:line="360" w:lineRule="auto"/>
      </w:pPr>
      <w:r>
        <w:t>分类维度可结合数据形态(结构化/非结构化)与来源(内部/外部)进行交叉标识，支持多视角的数据组织与统计。</w:t>
      </w:r>
    </w:p>
    <w:p>
      <w:pPr>
        <w:spacing w:after="160" w:line="360" w:lineRule="auto"/>
      </w:pPr>
      <w:r>
        <w:t>分类体系随业务发展持续演进，新增业务域的数据及时归类，确保分类覆盖完整。</w:t>
      </w:r>
    </w:p>
    <w:p>
      <w:pPr>
        <w:pStyle w:val="Heading2"/>
      </w:pPr>
      <w:r>
        <w:rPr>
          <w:color w:val="1A2A4A"/>
        </w:rPr>
        <w:t>数据分级规则</w:t>
      </w:r>
    </w:p>
    <w:p>
      <w:pPr>
        <w:spacing w:after="160" w:line="360" w:lineRule="auto"/>
      </w:pPr>
      <w:r>
        <w:t>数据按敏感度与影响范围分为公开、内部、秘密、机密四级。公开级可对外发布；内部级限内部使用；秘密级限制访问范围；机密级最高保护。</w:t>
      </w:r>
    </w:p>
    <w:p>
      <w:pPr>
        <w:spacing w:after="160" w:line="360" w:lineRule="auto"/>
      </w:pPr>
      <w:r>
        <w:t>分级依据数据泄露后对公司、客户与个人的潜在危害程度判定，涉及个人隐私与核心商业秘密的数据通常定级较高，遵循就高原则。</w:t>
      </w:r>
    </w:p>
    <w:p>
      <w:pPr>
        <w:spacing w:after="160" w:line="360" w:lineRule="auto"/>
      </w:pPr>
      <w:r>
        <w:t>分级结果体现在数据资产目录中，并打标至数据存储与流转环节，支撑自动化访问控制与脱敏。</w:t>
      </w:r>
    </w:p>
    <w:p>
      <w:pPr>
        <w:pStyle w:val="Heading2"/>
      </w:pPr>
      <w:r>
        <w:rPr>
          <w:color w:val="1A2A4A"/>
        </w:rPr>
        <w:t>分级保护与管理</w:t>
      </w:r>
    </w:p>
    <w:p>
      <w:pPr>
        <w:spacing w:after="160" w:line="360" w:lineRule="auto"/>
      </w:pPr>
      <w:r>
        <w:t>不同级别数据采取差异化保护措施：公开级基本保护；内部级访问受控；秘密级加密与审计；机密级强化加密、最小授权与全程审计。</w:t>
      </w:r>
    </w:p>
    <w:p>
      <w:pPr>
        <w:spacing w:after="160" w:line="360" w:lineRule="auto"/>
      </w:pPr>
      <w:r>
        <w:t>数据流转与共享时按级别审批，高级别数据外发须脱敏或签保密协议，跨境传输符合法规要求。</w:t>
      </w:r>
    </w:p>
    <w:p>
      <w:pPr>
        <w:spacing w:after="160" w:line="360" w:lineRule="auto"/>
      </w:pPr>
      <w:r>
        <w:t>本标准定期复审，随法规与业务变化调整分级规则，并通过培训与工具确保标准落地执行。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