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采购管理制度修订说明</w:t>
      </w:r>
    </w:p>
    <w:p>
      <w:pPr>
        <w:pStyle w:val="Heading2"/>
      </w:pPr>
      <w:r>
        <w:rPr>
          <w:color w:val="445577"/>
        </w:rPr>
        <w:t>2026版采购管理制度修订要点解读</w:t>
      </w:r>
    </w:p>
    <w:p>
      <w:pPr>
        <w:jc w:val="center"/>
      </w:pPr>
      <w:r>
        <w:rPr>
          <w:color w:val="666666"/>
          <w:sz w:val="20"/>
        </w:rPr>
        <w:t>作者：采购管理部　　日期：2026-07-30</w:t>
      </w:r>
    </w:p>
    <w:p>
      <w:pPr>
        <w:jc w:val="center"/>
      </w:pPr>
      <w:r>
        <w:rPr>
          <w:color w:val="666666"/>
          <w:sz w:val="20"/>
        </w:rPr>
        <w:t>文档编号：PUR-2026-012</w:t>
      </w:r>
    </w:p>
    <w:p/>
    <w:p>
      <w:pPr>
        <w:pStyle w:val="Heading2"/>
      </w:pPr>
      <w:r>
        <w:rPr>
          <w:color w:val="1A2A4A"/>
        </w:rPr>
        <w:t>修订背景与目标</w:t>
      </w:r>
    </w:p>
    <w:p>
      <w:pPr>
        <w:spacing w:after="160" w:line="360" w:lineRule="auto"/>
      </w:pPr>
      <w:r>
        <w:t>随着业务发展与合规要求提升，原采购管理制度在审批效率、风险管控与供应商管理等方面需进一步完善，特启动本次修订，发布 2026 版采购管理制度。</w:t>
      </w:r>
    </w:p>
    <w:p>
      <w:pPr>
        <w:spacing w:after="160" w:line="360" w:lineRule="auto"/>
      </w:pPr>
      <w:r>
        <w:t>修订目标包括：提升采购效率、强化廉洁风险防控、完善供应商全生命周期管理、加强采购成本与质量管控，使制度更好适配业务需求。</w:t>
      </w:r>
    </w:p>
    <w:p>
      <w:pPr>
        <w:spacing w:after="160" w:line="360" w:lineRule="auto"/>
      </w:pPr>
      <w:r>
        <w:t>本次修订在保持制度框架稳定的基础上，针对执行中暴露的问题进行针对性优化，确保制度可执行、可监督。</w:t>
      </w:r>
    </w:p>
    <w:p>
      <w:pPr>
        <w:pStyle w:val="Heading2"/>
      </w:pPr>
      <w:r>
        <w:rPr>
          <w:color w:val="1A2A4A"/>
        </w:rPr>
        <w:t>主要修订内容</w:t>
      </w:r>
    </w:p>
    <w:p>
      <w:pPr>
        <w:spacing w:after="160" w:line="360" w:lineRule="auto"/>
      </w:pPr>
      <w:r>
        <w:t>审批流程方面，按金额与风险分级授权，小额采购简化审批提升效率，大额与高风险采购强化集体决策，兼顾效率与风险。</w:t>
      </w:r>
    </w:p>
    <w:p>
      <w:pPr>
        <w:spacing w:after="160" w:line="360" w:lineRule="auto"/>
      </w:pPr>
      <w:r>
        <w:t>供应商管理方面，新增供应商绩效评价与分级管理要求，强化准入审查与动态淘汰，推动供应商体系持续优化。</w:t>
      </w:r>
    </w:p>
    <w:p>
      <w:pPr>
        <w:spacing w:after="160" w:line="360" w:lineRule="auto"/>
      </w:pPr>
      <w:r>
        <w:t>廉洁风险防控方面，增加利益冲突申报、轮岗与审计监督条款，明确违规处理，扎紧制度笼子，防范采购腐败。</w:t>
      </w:r>
    </w:p>
    <w:p>
      <w:pPr>
        <w:pStyle w:val="Heading2"/>
      </w:pPr>
      <w:r>
        <w:rPr>
          <w:color w:val="1A2A4A"/>
        </w:rPr>
        <w:t>实施与衔接</w:t>
      </w:r>
    </w:p>
    <w:p>
      <w:pPr>
        <w:spacing w:after="160" w:line="360" w:lineRule="auto"/>
      </w:pPr>
      <w:r>
        <w:t>新制度自发布之日起施行，已启动的采购项目按原制度执行完毕，新启动项目按新制度执行，确保衔接平稳。</w:t>
      </w:r>
    </w:p>
    <w:p>
      <w:pPr>
        <w:spacing w:after="160" w:line="360" w:lineRule="auto"/>
      </w:pPr>
      <w:r>
        <w:t>采购部组织开展全员培训，解读修订要点与操作变化，确保相关人员准确理解与执行新制度。</w:t>
      </w:r>
    </w:p>
    <w:p>
      <w:pPr>
        <w:spacing w:after="160" w:line="360" w:lineRule="auto"/>
      </w:pPr>
      <w:r>
        <w:t>新制度执行中如遇问题及时反馈，采购部将根据执行情况持续完善，必要时发布补充说明。</w:t>
      </w:r>
    </w:p>
    <w:p>
      <w:pPr>
        <w:pStyle w:val="Heading2"/>
      </w:pPr>
      <w:r>
        <w:rPr>
          <w:color w:val="1A2A4A"/>
        </w:rPr>
        <w:t>监督与改进</w:t>
      </w:r>
    </w:p>
    <w:p>
      <w:pPr>
        <w:spacing w:after="160" w:line="360" w:lineRule="auto"/>
      </w:pPr>
      <w:r>
        <w:t>审计部门将新制度执行情况纳入常规审计，重点关注审批合规、供应商管理与廉洁风险，确保制度落地不走样。</w:t>
      </w:r>
    </w:p>
    <w:p>
      <w:pPr>
        <w:spacing w:after="160" w:line="360" w:lineRule="auto"/>
      </w:pPr>
      <w:r>
        <w:t>建立制度执行反馈机制，定期收集执行中的意见与建议，作为后续修订的输入，保持制度的适应性与有效性。</w:t>
      </w:r>
    </w:p>
    <w:p>
      <w:pPr>
        <w:spacing w:after="160" w:line="360" w:lineRule="auto"/>
      </w:pPr>
      <w:r>
        <w:t>本修订说明与新制度一并发布，帮助各方理解修订意图，推动制度有效执行。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