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2A4A"/>
        </w:rPr>
        <w:t>知识管理实施细则</w:t>
      </w:r>
    </w:p>
    <w:p>
      <w:pPr>
        <w:pStyle w:val="Heading2"/>
      </w:pPr>
      <w:r>
        <w:rPr>
          <w:color w:val="445577"/>
        </w:rPr>
        <w:t>知识库运营与知识沉淀执行规范</w:t>
      </w:r>
    </w:p>
    <w:p>
      <w:pPr>
        <w:jc w:val="center"/>
      </w:pPr>
      <w:r>
        <w:rPr>
          <w:color w:val="666666"/>
          <w:sz w:val="20"/>
        </w:rPr>
        <w:t>作者：知识管理委员会　　日期：2026-07-30</w:t>
      </w:r>
    </w:p>
    <w:p>
      <w:pPr>
        <w:jc w:val="center"/>
      </w:pPr>
      <w:r>
        <w:rPr>
          <w:color w:val="666666"/>
          <w:sz w:val="20"/>
        </w:rPr>
        <w:t>文档编号：KM-2026-016</w:t>
      </w:r>
    </w:p>
    <w:p/>
    <w:p>
      <w:pPr>
        <w:pStyle w:val="Heading2"/>
      </w:pPr>
      <w:r>
        <w:rPr>
          <w:color w:val="1A2A4A"/>
        </w:rPr>
        <w:t>实施目标与组织</w:t>
      </w:r>
    </w:p>
    <w:p>
      <w:pPr>
        <w:spacing w:after="160" w:line="360" w:lineRule="auto"/>
      </w:pPr>
      <w:r>
        <w:t>为推动知识库有效运营与知识持续沉淀，特制定本实施细则。目标是建立“贡献—共享—应用—激励”的知识管理闭环，让知识真正流动起来、用起来。</w:t>
      </w:r>
    </w:p>
    <w:p>
      <w:pPr>
        <w:spacing w:after="160" w:line="360" w:lineRule="auto"/>
      </w:pPr>
      <w:r>
        <w:t>公司设立知识管理委员会统筹知识管理，各业务部门设知识联络员负责本部门知识贡献与维护，形成纵向贯通的知识管理网络。</w:t>
      </w:r>
    </w:p>
    <w:p>
      <w:pPr>
        <w:spacing w:after="160" w:line="360" w:lineRule="auto"/>
      </w:pPr>
      <w:r>
        <w:t>知识管理不只是平台建设，更是文化培育，鼓励员工乐于分享、善于沉淀，将个人经验转化为组织资产。</w:t>
      </w:r>
    </w:p>
    <w:p>
      <w:pPr>
        <w:pStyle w:val="Heading2"/>
      </w:pPr>
      <w:r>
        <w:rPr>
          <w:color w:val="1A2A4A"/>
        </w:rPr>
        <w:t>知识贡献与审核</w:t>
      </w:r>
    </w:p>
    <w:p>
      <w:pPr>
        <w:spacing w:after="160" w:line="360" w:lineRule="auto"/>
      </w:pPr>
      <w:r>
        <w:t>员工可将工作中的经验、方案、模板等知识贡献至知识库，贡献前进行内容整理与质量自检，确保知识准确、完整、有价值。</w:t>
      </w:r>
    </w:p>
    <w:p>
      <w:pPr>
        <w:spacing w:after="160" w:line="360" w:lineRule="auto"/>
      </w:pPr>
      <w:r>
        <w:t>知识审核由领域知识联络员或专家负责，审核内容质量与分类合理性，通过后发布，未通过的反馈修改建议，保证知识库质量。</w:t>
      </w:r>
    </w:p>
    <w:p>
      <w:pPr>
        <w:spacing w:after="160" w:line="360" w:lineRule="auto"/>
      </w:pPr>
      <w:r>
        <w:t>知识贡献纳入个人与团队考核加分项，定期评选优秀知识贡献者予以表彰，形成正向激励。</w:t>
      </w:r>
    </w:p>
    <w:p>
      <w:pPr>
        <w:pStyle w:val="Heading2"/>
      </w:pPr>
      <w:r>
        <w:rPr>
          <w:color w:val="1A2A4A"/>
        </w:rPr>
        <w:t>知识维护与更新</w:t>
      </w:r>
    </w:p>
    <w:p>
      <w:pPr>
        <w:spacing w:after="160" w:line="360" w:lineRule="auto"/>
      </w:pPr>
      <w:r>
        <w:t>知识具有时效性，知识属主须定期审视所负责知识的有效性，及时更新过时内容、下线失效知识，保证知识库鲜活可用。</w:t>
      </w:r>
    </w:p>
    <w:p>
      <w:pPr>
        <w:spacing w:after="160" w:line="360" w:lineRule="auto"/>
      </w:pPr>
      <w:r>
        <w:t>建立知识有效期机制，超期未更新的知识自动标记提醒，连续未维护的冷知识按规则归档或下线，控制知识库噪声。</w:t>
      </w:r>
    </w:p>
    <w:p>
      <w:pPr>
        <w:spacing w:after="160" w:line="360" w:lineRule="auto"/>
      </w:pPr>
      <w:r>
        <w:t>鼓励员工通过评论与反馈指出知识错误与改进建议，知识属主积极响应，形成共建共治的知识生态。</w:t>
      </w:r>
    </w:p>
    <w:p>
      <w:pPr>
        <w:pStyle w:val="Heading2"/>
      </w:pPr>
      <w:r>
        <w:rPr>
          <w:color w:val="1A2A4A"/>
        </w:rPr>
        <w:t>知识应用与度量</w:t>
      </w:r>
    </w:p>
    <w:p>
      <w:pPr>
        <w:spacing w:after="160" w:line="360" w:lineRule="auto"/>
      </w:pPr>
      <w:r>
        <w:t>知识价值在于应用，鼓励员工在开展工作前检索知识库，复用已有经验避免重复造轮子，并将应用成效反馈促进知识优化。</w:t>
      </w:r>
    </w:p>
    <w:p>
      <w:pPr>
        <w:spacing w:after="160" w:line="360" w:lineRule="auto"/>
      </w:pPr>
      <w:r>
        <w:t>建立知识管理度量体系，跟踪知识贡献量、更新率、检索量、应用率与好评率等指标，定期发布知识运营报告。</w:t>
      </w:r>
    </w:p>
    <w:p>
      <w:pPr>
        <w:spacing w:after="160" w:line="360" w:lineRule="auto"/>
      </w:pPr>
      <w:r>
        <w:t>本细则根据运营情况持续完善，推动知识管理从“建库”走向“用库”，真正发挥知识资产价值。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