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变更管理流程文档</w:t>
      </w:r>
    </w:p>
    <w:p>
      <w:pPr>
        <w:pStyle w:val="Heading2"/>
      </w:pPr>
      <w:r>
        <w:rPr>
          <w:color w:val="445577"/>
        </w:rPr>
        <w:t>IT 变更申请、评估与实施管理规范</w:t>
      </w:r>
    </w:p>
    <w:p>
      <w:pPr>
        <w:jc w:val="center"/>
      </w:pPr>
      <w:r>
        <w:rPr>
          <w:color w:val="666666"/>
          <w:sz w:val="20"/>
        </w:rPr>
        <w:t>作者：IT 服务管理部　　日期：2026-07-30</w:t>
      </w:r>
    </w:p>
    <w:p>
      <w:pPr>
        <w:jc w:val="center"/>
      </w:pPr>
      <w:r>
        <w:rPr>
          <w:color w:val="666666"/>
          <w:sz w:val="20"/>
        </w:rPr>
        <w:t>文档编号：CHG-2026-017</w:t>
      </w:r>
    </w:p>
    <w:p/>
    <w:p>
      <w:pPr>
        <w:pStyle w:val="Heading2"/>
      </w:pPr>
      <w:r>
        <w:rPr>
          <w:color w:val="1A2A4A"/>
        </w:rPr>
        <w:t>变更管理目标</w:t>
      </w:r>
    </w:p>
    <w:p>
      <w:pPr>
        <w:spacing w:after="160" w:line="360" w:lineRule="auto"/>
      </w:pPr>
      <w:r>
        <w:t>变更管理旨在以受控方式实施 IT 变更，平衡变更带来的业务价值与风险，最大限度减少变更引发的服务中断。本流程规范变更的申请、评估、审批与实施。</w:t>
      </w:r>
    </w:p>
    <w:p>
      <w:pPr>
        <w:spacing w:after="160" w:line="360" w:lineRule="auto"/>
      </w:pPr>
      <w:r>
        <w:t>所有对生产环境的变更均须纳入变更管理，包括配置调整、版本发布、基础设施变更等，杜绝未经审批的私改行为。</w:t>
      </w:r>
    </w:p>
    <w:p>
      <w:pPr>
        <w:spacing w:after="160" w:line="360" w:lineRule="auto"/>
      </w:pPr>
      <w:r>
        <w:t>变更管理遵循“评估充分、审批分级、实施可控、回滚有序”原则，确保每项变更可追溯、可回滚、可审计。</w:t>
      </w:r>
    </w:p>
    <w:p>
      <w:pPr>
        <w:pStyle w:val="Heading2"/>
      </w:pPr>
      <w:r>
        <w:rPr>
          <w:color w:val="1A2A4A"/>
        </w:rPr>
        <w:t>变更分类与审批</w:t>
      </w:r>
    </w:p>
    <w:p>
      <w:pPr>
        <w:spacing w:after="160" w:line="360" w:lineRule="auto"/>
      </w:pPr>
      <w:r>
        <w:t>变更按风险与影响分为标准、普通与重大三类。标准变更为预批准的低风险变更，可快速执行；普通变更经变更经理审批；重大变更须经变更顾问委员会(CAB)评审。</w:t>
      </w:r>
    </w:p>
    <w:p>
      <w:pPr>
        <w:spacing w:after="160" w:line="360" w:lineRule="auto"/>
      </w:pPr>
      <w:r>
        <w:t>变更申请须包含变更内容、原因、影响分析、实施计划、测试验证与回滚方案，信息不完整的申请予以退回。</w:t>
      </w:r>
    </w:p>
    <w:p>
      <w:pPr>
        <w:spacing w:after="160" w:line="360" w:lineRule="auto"/>
      </w:pPr>
      <w:r>
        <w:t>审批关注变更必要性、风险评估充分性与实施准备完备性，高风险变更须安排专人值守与验证。</w:t>
      </w:r>
    </w:p>
    <w:p>
      <w:pPr>
        <w:pStyle w:val="Heading2"/>
      </w:pPr>
      <w:r>
        <w:rPr>
          <w:color w:val="1A2A4A"/>
        </w:rPr>
        <w:t>实施与验证</w:t>
      </w:r>
    </w:p>
    <w:p>
      <w:pPr>
        <w:spacing w:after="160" w:line="360" w:lineRule="auto"/>
      </w:pPr>
      <w:r>
        <w:t>变更须在审批窗口内实施，实施前再次确认环境与准备就绪，实施过程记录操作步骤与时间，便于追溯。</w:t>
      </w:r>
    </w:p>
    <w:p>
      <w:pPr>
        <w:spacing w:after="160" w:line="360" w:lineRule="auto"/>
      </w:pPr>
      <w:r>
        <w:t>实施后开展功能与监控验证，确认变更达到预期且无副作用，验证通过方可关闭变更；异常时按回滚方案及时回滚。</w:t>
      </w:r>
    </w:p>
    <w:p>
      <w:pPr>
        <w:spacing w:after="160" w:line="360" w:lineRule="auto"/>
      </w:pPr>
      <w:r>
        <w:t>变更关闭后更新配置项与文档，保持配置管理数据库(CMDB)与实际一致，为后续运维提供准确信息。</w:t>
      </w:r>
    </w:p>
    <w:p>
      <w:pPr>
        <w:pStyle w:val="Heading2"/>
      </w:pPr>
      <w:r>
        <w:rPr>
          <w:color w:val="1A2A4A"/>
        </w:rPr>
        <w:t>回顾与改进</w:t>
      </w:r>
    </w:p>
    <w:p>
      <w:pPr>
        <w:spacing w:after="160" w:line="360" w:lineRule="auto"/>
      </w:pPr>
      <w:r>
        <w:t>定期回顾变更实施情况，统计变更成功率与引发故障率，分析失败变更根因，推动流程与准备环节改进。</w:t>
      </w:r>
    </w:p>
    <w:p>
      <w:pPr>
        <w:spacing w:after="160" w:line="360" w:lineRule="auto"/>
      </w:pPr>
      <w:r>
        <w:t>对引发重大故障的变更开展专项复盘，完善变更评估与测试方法，避免同类问题复发。</w:t>
      </w:r>
    </w:p>
    <w:p>
      <w:pPr>
        <w:spacing w:after="160" w:line="360" w:lineRule="auto"/>
      </w:pPr>
      <w:r>
        <w:t>本流程依据 ITIL 最佳实践并结合公司实际制定，随 IT 服务成熟度提升持续优化。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