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A2A4A"/>
        </w:rPr>
        <w:t>数据生命周期管理规范</w:t>
      </w:r>
    </w:p>
    <w:p>
      <w:pPr>
        <w:pStyle w:val="Heading2"/>
      </w:pPr>
      <w:r>
        <w:rPr>
          <w:color w:val="445577"/>
        </w:rPr>
        <w:t>数据从产生到销毁的全生命周期管理</w:t>
      </w:r>
    </w:p>
    <w:p>
      <w:pPr>
        <w:jc w:val="center"/>
      </w:pPr>
      <w:r>
        <w:rPr>
          <w:color w:val="666666"/>
          <w:sz w:val="20"/>
        </w:rPr>
        <w:t>作者：数据治理办公室　　日期：2026-07-30</w:t>
      </w:r>
    </w:p>
    <w:p>
      <w:pPr>
        <w:jc w:val="center"/>
      </w:pPr>
      <w:r>
        <w:rPr>
          <w:color w:val="666666"/>
          <w:sz w:val="20"/>
        </w:rPr>
        <w:t>文档编号：DLM-2026-020</w:t>
      </w:r>
    </w:p>
    <w:p/>
    <w:p>
      <w:pPr>
        <w:pStyle w:val="Heading2"/>
      </w:pPr>
      <w:r>
        <w:rPr>
          <w:color w:val="1A2A4A"/>
        </w:rPr>
        <w:t>规范目标与阶段</w:t>
      </w:r>
    </w:p>
    <w:p>
      <w:pPr>
        <w:spacing w:after="160" w:line="360" w:lineRule="auto"/>
      </w:pPr>
      <w:r>
        <w:t>数据生命周期管理规范数据从产生、存储、使用、共享到归档与销毁的全过程，确保数据在各阶段得到适当保护与高效利用，平衡价值释放与风险管控。</w:t>
      </w:r>
    </w:p>
    <w:p>
      <w:pPr>
        <w:spacing w:after="160" w:line="360" w:lineRule="auto"/>
      </w:pPr>
      <w:r>
        <w:t>数据生命周期划分为产生采集、存储加工、使用共享、归档与销毁五个阶段，各阶段管理重点与要求不同，需差异化管控。</w:t>
      </w:r>
    </w:p>
    <w:p>
      <w:pPr>
        <w:spacing w:after="160" w:line="360" w:lineRule="auto"/>
      </w:pPr>
      <w:r>
        <w:t>本规范适用于公司所有数据资产，与数据分类分级标准配合执行，形成“分级+分阶段”的精细化数据管理。</w:t>
      </w:r>
    </w:p>
    <w:p>
      <w:pPr>
        <w:pStyle w:val="Heading2"/>
      </w:pPr>
      <w:r>
        <w:rPr>
          <w:color w:val="1A2A4A"/>
        </w:rPr>
        <w:t>产生与存储管理</w:t>
      </w:r>
    </w:p>
    <w:p>
      <w:pPr>
        <w:spacing w:after="160" w:line="360" w:lineRule="auto"/>
      </w:pPr>
      <w:r>
        <w:t>数据产生阶段须明确数据来源、属主与分级，按规范录入元数据，确保数据“出生即合规”，为后续管理奠定基础。</w:t>
      </w:r>
    </w:p>
    <w:p>
      <w:pPr>
        <w:spacing w:after="160" w:line="360" w:lineRule="auto"/>
      </w:pPr>
      <w:r>
        <w:t>数据存储按分级采取相应保护，敏感数据加密存储与访问控制，存储位置与保留期限符合法规与业务需要，避免过度留存。</w:t>
      </w:r>
    </w:p>
    <w:p>
      <w:pPr>
        <w:spacing w:after="160" w:line="360" w:lineRule="auto"/>
      </w:pPr>
      <w:r>
        <w:t>数据采集遵循最小必要原则，仅采集业务所需数据，从源头控制数据规模与风险，减少不必要的数据持有。</w:t>
      </w:r>
    </w:p>
    <w:p>
      <w:pPr>
        <w:pStyle w:val="Heading2"/>
      </w:pPr>
      <w:r>
        <w:rPr>
          <w:color w:val="1A2A4A"/>
        </w:rPr>
        <w:t>使用与共享管理</w:t>
      </w:r>
    </w:p>
    <w:p>
      <w:pPr>
        <w:spacing w:after="160" w:line="360" w:lineRule="auto"/>
      </w:pPr>
      <w:r>
        <w:t>数据使用遵循最小授权原则，按角色与分级授予访问权限，定期审阅权限合理性，敏感数据访问全程审计。</w:t>
      </w:r>
    </w:p>
    <w:p>
      <w:pPr>
        <w:spacing w:after="160" w:line="360" w:lineRule="auto"/>
      </w:pPr>
      <w:r>
        <w:t>数据共享与外发须审批并评估合规风险，敏感数据脱敏后方可共享，共享协议明确用途与安全责任，防止数据滥用。</w:t>
      </w:r>
    </w:p>
    <w:p>
      <w:pPr>
        <w:spacing w:after="160" w:line="360" w:lineRule="auto"/>
      </w:pPr>
      <w:r>
        <w:t>数据分析与利用过程中注意隐私保护，采用去标识化与差分隐私等技术，平衡数据价值与个人隐私保护。</w:t>
      </w:r>
    </w:p>
    <w:p>
      <w:pPr>
        <w:pStyle w:val="Heading2"/>
      </w:pPr>
      <w:r>
        <w:rPr>
          <w:color w:val="1A2A4A"/>
        </w:rPr>
        <w:t>归档与销毁管理</w:t>
      </w:r>
    </w:p>
    <w:p>
      <w:pPr>
        <w:spacing w:after="160" w:line="360" w:lineRule="auto"/>
      </w:pPr>
      <w:r>
        <w:t>对不再活跃但需保留的数据按保留策略归档，归档存储兼顾成本与可恢复性，并定期验证归档数据可读性。</w:t>
      </w:r>
    </w:p>
    <w:p>
      <w:pPr>
        <w:spacing w:after="160" w:line="360" w:lineRule="auto"/>
      </w:pPr>
      <w:r>
        <w:t>超过保留期限或不再需要的数据按规范销毁，销毁不可恢复并记录销毁清单，确保数据彻底清除且过程可审计。</w:t>
      </w:r>
    </w:p>
    <w:p>
      <w:pPr>
        <w:spacing w:after="160" w:line="360" w:lineRule="auto"/>
      </w:pPr>
      <w:r>
        <w:t>本规范通过数据生命周期管理平台落地，自动执行归档与销毁策略，减少人工遗漏，保障管理持续有效。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 w:eastAsia="PingFang S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