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3C1732" w14:textId="05175486" w:rsidR="00EC667F" w:rsidRPr="00EC667F" w:rsidRDefault="00EC667F">
      <w:pPr>
        <w:rPr>
          <w:b/>
        </w:rPr>
      </w:pPr>
      <w:r w:rsidRPr="00EC667F">
        <w:rPr>
          <w:b/>
        </w:rPr>
        <w:t>Introduction</w:t>
      </w:r>
    </w:p>
    <w:p w14:paraId="4FF1B178" w14:textId="4F3C0D12" w:rsidR="00CF007A" w:rsidRDefault="00EB6ECA" w:rsidP="00EB6ECA">
      <w:pPr>
        <w:spacing w:line="480" w:lineRule="auto"/>
      </w:pPr>
      <w:r>
        <w:t xml:space="preserve">The </w:t>
      </w:r>
      <w:r w:rsidR="0028771B">
        <w:t xml:space="preserve">purpose of this assignment is to </w:t>
      </w:r>
      <w:r w:rsidR="000F4A67">
        <w:t>make a recommendation to bank management whether to use a machine learning model to offer loans to specific customers</w:t>
      </w:r>
      <w:r w:rsidR="00253BF8">
        <w:t xml:space="preserve"> through direct marketing</w:t>
      </w:r>
      <w:r w:rsidR="000F4A67">
        <w:t xml:space="preserve">.  </w:t>
      </w:r>
      <w:r w:rsidR="00253BF8">
        <w:t xml:space="preserve"> A Support Vector Machine (SVM) model was develop</w:t>
      </w:r>
      <w:r w:rsidR="00A32D34">
        <w:t>ed using 16 variables from the “</w:t>
      </w:r>
      <w:r w:rsidR="00A32D34" w:rsidRPr="00A32D34">
        <w:t>Using Data Mining for Bank Direct Marketing: An Applicat</w:t>
      </w:r>
      <w:r w:rsidR="00A32D34">
        <w:t>ion of the CRISP-DM Methodology” study.  This paper recommends using the model and highlights the risks and costs associated with its use.</w:t>
      </w:r>
    </w:p>
    <w:p w14:paraId="18533D68" w14:textId="4C67775A" w:rsidR="00D3560B" w:rsidRPr="00D3560B" w:rsidRDefault="00D3560B">
      <w:pPr>
        <w:rPr>
          <w:b/>
        </w:rPr>
      </w:pPr>
      <w:r w:rsidRPr="00D3560B">
        <w:rPr>
          <w:b/>
        </w:rPr>
        <w:t>Results</w:t>
      </w:r>
    </w:p>
    <w:p w14:paraId="24521830" w14:textId="27BC1147" w:rsidR="00A01D60" w:rsidRDefault="00A01D60" w:rsidP="00A32D34">
      <w:pPr>
        <w:spacing w:line="480" w:lineRule="auto"/>
      </w:pPr>
      <w:r>
        <w:rPr>
          <w:noProof/>
        </w:rPr>
        <w:drawing>
          <wp:anchor distT="0" distB="0" distL="114300" distR="114300" simplePos="0" relativeHeight="251658240" behindDoc="0" locked="0" layoutInCell="1" allowOverlap="1" wp14:anchorId="1FA19FA1" wp14:editId="7D251470">
            <wp:simplePos x="0" y="0"/>
            <wp:positionH relativeFrom="column">
              <wp:posOffset>0</wp:posOffset>
            </wp:positionH>
            <wp:positionV relativeFrom="paragraph">
              <wp:posOffset>342900</wp:posOffset>
            </wp:positionV>
            <wp:extent cx="2907030" cy="2244725"/>
            <wp:effectExtent l="0" t="0" r="762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7030" cy="2244725"/>
                    </a:xfrm>
                    <a:prstGeom prst="rect">
                      <a:avLst/>
                    </a:prstGeom>
                  </pic:spPr>
                </pic:pic>
              </a:graphicData>
            </a:graphic>
            <wp14:sizeRelH relativeFrom="page">
              <wp14:pctWidth>0</wp14:pctWidth>
            </wp14:sizeRelH>
            <wp14:sizeRelV relativeFrom="page">
              <wp14:pctHeight>0</wp14:pctHeight>
            </wp14:sizeRelV>
          </wp:anchor>
        </w:drawing>
      </w:r>
      <w:r w:rsidR="00A32D34">
        <w:t>The area under the receiver operating characteristic (ROC) curve characterizes the classification performance</w:t>
      </w:r>
      <w:r w:rsidR="008B3894">
        <w:t xml:space="preserve"> and the 0.776 index provides lift over a 0.5 random chance.  Given that there is a relatively low chance that people will accept the loan offer, model accuracy even at x is not a viable measure for evaluating its performance.   </w:t>
      </w:r>
    </w:p>
    <w:p w14:paraId="3930B241" w14:textId="7C76BFFA" w:rsidR="00253BF8" w:rsidRDefault="008B3894" w:rsidP="00A32D34">
      <w:pPr>
        <w:spacing w:line="480" w:lineRule="auto"/>
      </w:pPr>
      <w:r>
        <w:t>The confusion matrix is an effective method for evaluating the costs and risks of using this model.</w:t>
      </w:r>
    </w:p>
    <w:tbl>
      <w:tblPr>
        <w:tblStyle w:val="TableGrid"/>
        <w:tblW w:w="0" w:type="auto"/>
        <w:tblLook w:val="04A0" w:firstRow="1" w:lastRow="0" w:firstColumn="1" w:lastColumn="0" w:noHBand="0" w:noVBand="1"/>
      </w:tblPr>
      <w:tblGrid>
        <w:gridCol w:w="2340"/>
        <w:gridCol w:w="1400"/>
        <w:gridCol w:w="1870"/>
        <w:gridCol w:w="1870"/>
        <w:gridCol w:w="1870"/>
      </w:tblGrid>
      <w:tr w:rsidR="007A14C2" w14:paraId="64D53C82" w14:textId="77777777" w:rsidTr="007A14C2">
        <w:tc>
          <w:tcPr>
            <w:tcW w:w="2340" w:type="dxa"/>
            <w:tcBorders>
              <w:top w:val="nil"/>
              <w:left w:val="nil"/>
              <w:bottom w:val="nil"/>
              <w:right w:val="nil"/>
            </w:tcBorders>
          </w:tcPr>
          <w:p w14:paraId="5D683D54" w14:textId="77777777" w:rsidR="007A14C2" w:rsidRDefault="007A14C2" w:rsidP="00A32D34">
            <w:pPr>
              <w:spacing w:line="480" w:lineRule="auto"/>
            </w:pPr>
          </w:p>
        </w:tc>
        <w:tc>
          <w:tcPr>
            <w:tcW w:w="1400" w:type="dxa"/>
            <w:tcBorders>
              <w:top w:val="nil"/>
              <w:left w:val="nil"/>
              <w:bottom w:val="nil"/>
              <w:right w:val="nil"/>
            </w:tcBorders>
          </w:tcPr>
          <w:p w14:paraId="0305B0F6" w14:textId="77777777" w:rsidR="007A14C2" w:rsidRDefault="007A14C2" w:rsidP="00A32D34">
            <w:pPr>
              <w:spacing w:line="480" w:lineRule="auto"/>
            </w:pPr>
          </w:p>
        </w:tc>
        <w:tc>
          <w:tcPr>
            <w:tcW w:w="3740" w:type="dxa"/>
            <w:gridSpan w:val="2"/>
            <w:tcBorders>
              <w:top w:val="nil"/>
              <w:left w:val="nil"/>
              <w:bottom w:val="nil"/>
              <w:right w:val="nil"/>
            </w:tcBorders>
            <w:vAlign w:val="center"/>
          </w:tcPr>
          <w:p w14:paraId="39FB6FE3" w14:textId="3DB7AF97" w:rsidR="007A14C2" w:rsidRDefault="007A14C2" w:rsidP="008B3894">
            <w:pPr>
              <w:spacing w:line="480" w:lineRule="auto"/>
              <w:jc w:val="center"/>
            </w:pPr>
            <w:r>
              <w:t>Actual Binary Response</w:t>
            </w:r>
          </w:p>
        </w:tc>
        <w:tc>
          <w:tcPr>
            <w:tcW w:w="1870" w:type="dxa"/>
            <w:tcBorders>
              <w:top w:val="nil"/>
              <w:left w:val="nil"/>
              <w:bottom w:val="nil"/>
              <w:right w:val="nil"/>
            </w:tcBorders>
            <w:vAlign w:val="center"/>
          </w:tcPr>
          <w:p w14:paraId="7E00193D" w14:textId="77777777" w:rsidR="007A14C2" w:rsidRDefault="007A14C2" w:rsidP="008B3894">
            <w:pPr>
              <w:spacing w:line="480" w:lineRule="auto"/>
              <w:jc w:val="center"/>
            </w:pPr>
          </w:p>
        </w:tc>
      </w:tr>
      <w:tr w:rsidR="008B3894" w14:paraId="58506A1E" w14:textId="77777777" w:rsidTr="007A14C2">
        <w:tc>
          <w:tcPr>
            <w:tcW w:w="2340" w:type="dxa"/>
            <w:tcBorders>
              <w:top w:val="nil"/>
              <w:left w:val="nil"/>
              <w:bottom w:val="nil"/>
              <w:right w:val="nil"/>
            </w:tcBorders>
          </w:tcPr>
          <w:p w14:paraId="49EF5D78" w14:textId="77777777" w:rsidR="008B3894" w:rsidRDefault="008B3894" w:rsidP="00A32D34">
            <w:pPr>
              <w:spacing w:line="480" w:lineRule="auto"/>
            </w:pPr>
          </w:p>
        </w:tc>
        <w:tc>
          <w:tcPr>
            <w:tcW w:w="1400" w:type="dxa"/>
            <w:tcBorders>
              <w:top w:val="nil"/>
              <w:left w:val="nil"/>
              <w:bottom w:val="nil"/>
              <w:right w:val="nil"/>
            </w:tcBorders>
          </w:tcPr>
          <w:p w14:paraId="7EE193C1" w14:textId="77777777" w:rsidR="008B3894" w:rsidRDefault="008B3894" w:rsidP="00A32D34">
            <w:pPr>
              <w:spacing w:line="480" w:lineRule="auto"/>
            </w:pPr>
          </w:p>
        </w:tc>
        <w:tc>
          <w:tcPr>
            <w:tcW w:w="1870" w:type="dxa"/>
            <w:tcBorders>
              <w:top w:val="nil"/>
              <w:left w:val="nil"/>
              <w:bottom w:val="single" w:sz="4" w:space="0" w:color="auto"/>
              <w:right w:val="nil"/>
            </w:tcBorders>
            <w:vAlign w:val="center"/>
          </w:tcPr>
          <w:p w14:paraId="2EEE3C77" w14:textId="0380E7FF" w:rsidR="008B3894" w:rsidRDefault="008B3894" w:rsidP="007A14C2">
            <w:pPr>
              <w:jc w:val="center"/>
            </w:pPr>
            <w:r>
              <w:t>YES</w:t>
            </w:r>
          </w:p>
        </w:tc>
        <w:tc>
          <w:tcPr>
            <w:tcW w:w="1870" w:type="dxa"/>
            <w:tcBorders>
              <w:top w:val="nil"/>
              <w:left w:val="nil"/>
              <w:bottom w:val="single" w:sz="4" w:space="0" w:color="auto"/>
              <w:right w:val="nil"/>
            </w:tcBorders>
            <w:vAlign w:val="center"/>
          </w:tcPr>
          <w:p w14:paraId="049263B2" w14:textId="0350DCD6" w:rsidR="008B3894" w:rsidRDefault="008B3894" w:rsidP="007A14C2">
            <w:pPr>
              <w:jc w:val="center"/>
            </w:pPr>
            <w:r>
              <w:t>NO</w:t>
            </w:r>
          </w:p>
        </w:tc>
        <w:tc>
          <w:tcPr>
            <w:tcW w:w="1870" w:type="dxa"/>
            <w:tcBorders>
              <w:top w:val="nil"/>
              <w:left w:val="nil"/>
              <w:bottom w:val="nil"/>
              <w:right w:val="nil"/>
            </w:tcBorders>
            <w:vAlign w:val="center"/>
          </w:tcPr>
          <w:p w14:paraId="7F075B8F" w14:textId="77777777" w:rsidR="008B3894" w:rsidRDefault="008B3894" w:rsidP="008B3894">
            <w:pPr>
              <w:spacing w:line="480" w:lineRule="auto"/>
              <w:jc w:val="center"/>
            </w:pPr>
          </w:p>
        </w:tc>
      </w:tr>
      <w:tr w:rsidR="007A14C2" w14:paraId="74718CCD" w14:textId="77777777" w:rsidTr="000219E7">
        <w:trPr>
          <w:trHeight w:val="728"/>
        </w:trPr>
        <w:tc>
          <w:tcPr>
            <w:tcW w:w="2340" w:type="dxa"/>
            <w:vMerge w:val="restart"/>
            <w:tcBorders>
              <w:top w:val="nil"/>
              <w:left w:val="nil"/>
              <w:right w:val="nil"/>
            </w:tcBorders>
            <w:vAlign w:val="center"/>
          </w:tcPr>
          <w:p w14:paraId="2003F3C4" w14:textId="0C4CD47C" w:rsidR="007A14C2" w:rsidRDefault="007A14C2" w:rsidP="000219E7">
            <w:r>
              <w:t>Predicted Binary Response</w:t>
            </w:r>
          </w:p>
        </w:tc>
        <w:tc>
          <w:tcPr>
            <w:tcW w:w="1400" w:type="dxa"/>
            <w:tcBorders>
              <w:top w:val="nil"/>
              <w:left w:val="nil"/>
              <w:bottom w:val="nil"/>
              <w:right w:val="single" w:sz="4" w:space="0" w:color="auto"/>
            </w:tcBorders>
            <w:vAlign w:val="center"/>
          </w:tcPr>
          <w:p w14:paraId="52AB6B23" w14:textId="56036EAA" w:rsidR="007A14C2" w:rsidRDefault="007A14C2" w:rsidP="007A14C2">
            <w:pPr>
              <w:jc w:val="center"/>
            </w:pPr>
            <w:r>
              <w:t>YES</w:t>
            </w:r>
          </w:p>
        </w:tc>
        <w:tc>
          <w:tcPr>
            <w:tcW w:w="1870" w:type="dxa"/>
            <w:tcBorders>
              <w:top w:val="single" w:sz="4" w:space="0" w:color="auto"/>
              <w:left w:val="single" w:sz="4" w:space="0" w:color="auto"/>
            </w:tcBorders>
            <w:shd w:val="clear" w:color="auto" w:fill="00B050"/>
            <w:vAlign w:val="center"/>
          </w:tcPr>
          <w:p w14:paraId="10D518C0" w14:textId="31198B81" w:rsidR="000219E7" w:rsidRDefault="000219E7" w:rsidP="007A14C2">
            <w:pPr>
              <w:jc w:val="center"/>
              <w:rPr>
                <w:b/>
                <w:color w:val="FFFFFF" w:themeColor="background1"/>
              </w:rPr>
            </w:pPr>
            <w:r>
              <w:rPr>
                <w:b/>
                <w:color w:val="FFFFFF" w:themeColor="background1"/>
              </w:rPr>
              <w:t>True Positive</w:t>
            </w:r>
          </w:p>
          <w:p w14:paraId="1539FBC1" w14:textId="5A232B15" w:rsidR="007A14C2" w:rsidRPr="000219E7" w:rsidRDefault="000219E7" w:rsidP="007A14C2">
            <w:pPr>
              <w:jc w:val="center"/>
              <w:rPr>
                <w:b/>
                <w:color w:val="FFFFFF" w:themeColor="background1"/>
              </w:rPr>
            </w:pPr>
            <w:r>
              <w:rPr>
                <w:b/>
                <w:color w:val="FFFFFF" w:themeColor="background1"/>
              </w:rPr>
              <w:t>x</w:t>
            </w:r>
          </w:p>
        </w:tc>
        <w:tc>
          <w:tcPr>
            <w:tcW w:w="1870" w:type="dxa"/>
            <w:tcBorders>
              <w:top w:val="single" w:sz="4" w:space="0" w:color="auto"/>
              <w:right w:val="single" w:sz="4" w:space="0" w:color="auto"/>
            </w:tcBorders>
            <w:shd w:val="clear" w:color="auto" w:fill="FF0000"/>
            <w:vAlign w:val="center"/>
          </w:tcPr>
          <w:p w14:paraId="6FBE6A3E" w14:textId="0D240ED5" w:rsidR="000219E7" w:rsidRDefault="000219E7" w:rsidP="007A14C2">
            <w:pPr>
              <w:jc w:val="center"/>
              <w:rPr>
                <w:b/>
                <w:color w:val="FFFFFF" w:themeColor="background1"/>
              </w:rPr>
            </w:pPr>
            <w:r>
              <w:rPr>
                <w:b/>
                <w:color w:val="FFFFFF" w:themeColor="background1"/>
              </w:rPr>
              <w:t>False Positive</w:t>
            </w:r>
          </w:p>
          <w:p w14:paraId="6C7BCD03" w14:textId="6230F09C" w:rsidR="007A14C2" w:rsidRPr="000219E7" w:rsidRDefault="007A14C2" w:rsidP="007A14C2">
            <w:pPr>
              <w:jc w:val="center"/>
              <w:rPr>
                <w:b/>
                <w:color w:val="FFFFFF" w:themeColor="background1"/>
              </w:rPr>
            </w:pPr>
            <w:r w:rsidRPr="000219E7">
              <w:rPr>
                <w:b/>
                <w:color w:val="FFFFFF" w:themeColor="background1"/>
              </w:rPr>
              <w:t>X</w:t>
            </w:r>
          </w:p>
        </w:tc>
        <w:tc>
          <w:tcPr>
            <w:tcW w:w="1870" w:type="dxa"/>
            <w:tcBorders>
              <w:top w:val="nil"/>
              <w:left w:val="single" w:sz="4" w:space="0" w:color="auto"/>
              <w:bottom w:val="nil"/>
              <w:right w:val="nil"/>
            </w:tcBorders>
          </w:tcPr>
          <w:p w14:paraId="6474EB3E" w14:textId="77777777" w:rsidR="007A14C2" w:rsidRDefault="007A14C2" w:rsidP="00A32D34">
            <w:pPr>
              <w:spacing w:line="480" w:lineRule="auto"/>
            </w:pPr>
          </w:p>
        </w:tc>
      </w:tr>
      <w:tr w:rsidR="007A14C2" w14:paraId="352BFFCA" w14:textId="77777777" w:rsidTr="000219E7">
        <w:trPr>
          <w:trHeight w:val="710"/>
        </w:trPr>
        <w:tc>
          <w:tcPr>
            <w:tcW w:w="2340" w:type="dxa"/>
            <w:vMerge/>
            <w:tcBorders>
              <w:left w:val="nil"/>
              <w:bottom w:val="nil"/>
              <w:right w:val="nil"/>
            </w:tcBorders>
          </w:tcPr>
          <w:p w14:paraId="43338829" w14:textId="77777777" w:rsidR="007A14C2" w:rsidRDefault="007A14C2" w:rsidP="00A32D34">
            <w:pPr>
              <w:spacing w:line="480" w:lineRule="auto"/>
            </w:pPr>
          </w:p>
        </w:tc>
        <w:tc>
          <w:tcPr>
            <w:tcW w:w="1400" w:type="dxa"/>
            <w:tcBorders>
              <w:top w:val="nil"/>
              <w:left w:val="nil"/>
              <w:bottom w:val="nil"/>
              <w:right w:val="single" w:sz="4" w:space="0" w:color="auto"/>
            </w:tcBorders>
            <w:vAlign w:val="center"/>
          </w:tcPr>
          <w:p w14:paraId="2AFB781E" w14:textId="5CB94553" w:rsidR="007A14C2" w:rsidRDefault="007A14C2" w:rsidP="007A14C2">
            <w:pPr>
              <w:jc w:val="center"/>
            </w:pPr>
            <w:r>
              <w:t>NO</w:t>
            </w:r>
          </w:p>
        </w:tc>
        <w:tc>
          <w:tcPr>
            <w:tcW w:w="1870" w:type="dxa"/>
            <w:tcBorders>
              <w:left w:val="single" w:sz="4" w:space="0" w:color="auto"/>
            </w:tcBorders>
            <w:shd w:val="clear" w:color="auto" w:fill="FF0000"/>
            <w:vAlign w:val="center"/>
          </w:tcPr>
          <w:p w14:paraId="20861A61" w14:textId="26C1B160" w:rsidR="000219E7" w:rsidRDefault="000219E7" w:rsidP="007A14C2">
            <w:pPr>
              <w:jc w:val="center"/>
              <w:rPr>
                <w:b/>
                <w:color w:val="FFFFFF" w:themeColor="background1"/>
              </w:rPr>
            </w:pPr>
            <w:r>
              <w:rPr>
                <w:b/>
                <w:color w:val="FFFFFF" w:themeColor="background1"/>
              </w:rPr>
              <w:t>False Negative</w:t>
            </w:r>
          </w:p>
          <w:p w14:paraId="0C3BEDF8" w14:textId="7ED69BA5" w:rsidR="007A14C2" w:rsidRPr="000219E7" w:rsidRDefault="007A14C2" w:rsidP="007A14C2">
            <w:pPr>
              <w:jc w:val="center"/>
              <w:rPr>
                <w:b/>
                <w:color w:val="FFFFFF" w:themeColor="background1"/>
              </w:rPr>
            </w:pPr>
            <w:r w:rsidRPr="000219E7">
              <w:rPr>
                <w:b/>
                <w:color w:val="FFFFFF" w:themeColor="background1"/>
              </w:rPr>
              <w:t>x</w:t>
            </w:r>
          </w:p>
        </w:tc>
        <w:tc>
          <w:tcPr>
            <w:tcW w:w="1870" w:type="dxa"/>
            <w:tcBorders>
              <w:right w:val="single" w:sz="4" w:space="0" w:color="auto"/>
            </w:tcBorders>
            <w:shd w:val="clear" w:color="auto" w:fill="00B050"/>
            <w:vAlign w:val="center"/>
          </w:tcPr>
          <w:p w14:paraId="3B59BAC6" w14:textId="6D469BE5" w:rsidR="000219E7" w:rsidRDefault="000219E7" w:rsidP="007A14C2">
            <w:pPr>
              <w:jc w:val="center"/>
              <w:rPr>
                <w:b/>
                <w:color w:val="FFFFFF" w:themeColor="background1"/>
              </w:rPr>
            </w:pPr>
            <w:r>
              <w:rPr>
                <w:b/>
                <w:color w:val="FFFFFF" w:themeColor="background1"/>
              </w:rPr>
              <w:t>True Negative</w:t>
            </w:r>
          </w:p>
          <w:p w14:paraId="7224F91D" w14:textId="0A8B8DF5" w:rsidR="007A14C2" w:rsidRPr="000219E7" w:rsidRDefault="007A14C2" w:rsidP="007A14C2">
            <w:pPr>
              <w:jc w:val="center"/>
              <w:rPr>
                <w:b/>
                <w:color w:val="FFFFFF" w:themeColor="background1"/>
              </w:rPr>
            </w:pPr>
            <w:r w:rsidRPr="000219E7">
              <w:rPr>
                <w:b/>
                <w:color w:val="FFFFFF" w:themeColor="background1"/>
              </w:rPr>
              <w:t>X</w:t>
            </w:r>
          </w:p>
        </w:tc>
        <w:tc>
          <w:tcPr>
            <w:tcW w:w="1870" w:type="dxa"/>
            <w:tcBorders>
              <w:top w:val="nil"/>
              <w:left w:val="single" w:sz="4" w:space="0" w:color="auto"/>
              <w:bottom w:val="nil"/>
              <w:right w:val="nil"/>
            </w:tcBorders>
          </w:tcPr>
          <w:p w14:paraId="0F75CC51" w14:textId="77777777" w:rsidR="007A14C2" w:rsidRDefault="007A14C2" w:rsidP="00A32D34">
            <w:pPr>
              <w:spacing w:line="480" w:lineRule="auto"/>
            </w:pPr>
          </w:p>
        </w:tc>
      </w:tr>
    </w:tbl>
    <w:p w14:paraId="6C863DF7" w14:textId="128DE96E" w:rsidR="008B3894" w:rsidRDefault="008B3894" w:rsidP="00A32D34">
      <w:pPr>
        <w:spacing w:line="480" w:lineRule="auto"/>
      </w:pPr>
    </w:p>
    <w:p w14:paraId="6F405871" w14:textId="0D70B4FA" w:rsidR="000219E7" w:rsidRDefault="000219E7" w:rsidP="00A32D34">
      <w:pPr>
        <w:spacing w:line="480" w:lineRule="auto"/>
      </w:pPr>
      <w:r>
        <w:t>The false negative represents the consumers that were predicted to not accept the offer but actually did.  This represents lost revenue ….  The false positive represents consumers that were predicted to accept the offer and actually did not.  This represents costs that are incurred without conversion.</w:t>
      </w:r>
    </w:p>
    <w:p w14:paraId="3CA2F219" w14:textId="2C9287C9" w:rsidR="00A32D34" w:rsidRDefault="00A01D60" w:rsidP="00CF007A">
      <w:r>
        <w:lastRenderedPageBreak/>
        <w:t>There are additional metrics that provide insight into model performance:</w:t>
      </w:r>
    </w:p>
    <w:p w14:paraId="76A6BB05" w14:textId="62EA1FF2" w:rsidR="00FC13A6" w:rsidRDefault="00FC13A6" w:rsidP="00FC13A6">
      <w:pPr>
        <w:pStyle w:val="ListParagraph"/>
        <w:numPr>
          <w:ilvl w:val="0"/>
          <w:numId w:val="6"/>
        </w:numPr>
      </w:pPr>
      <w:r w:rsidRPr="00FC13A6">
        <w:rPr>
          <w:b/>
        </w:rPr>
        <w:t>Precision</w:t>
      </w:r>
      <w:r>
        <w:t xml:space="preserve"> (</w:t>
      </w:r>
      <w:r>
        <w:t xml:space="preserve"> true positives / (true positives + false positives)</w:t>
      </w:r>
      <w:r>
        <w:t xml:space="preserve"> ) - </w:t>
      </w:r>
      <w:r>
        <w:t>represents the % of labeled</w:t>
      </w:r>
      <w:r>
        <w:t xml:space="preserve"> class that actually the class </w:t>
      </w:r>
    </w:p>
    <w:p w14:paraId="3C69EF18" w14:textId="46FB1D4D" w:rsidR="00FC13A6" w:rsidRDefault="00FC13A6" w:rsidP="00FC13A6">
      <w:pPr>
        <w:pStyle w:val="ListParagraph"/>
        <w:numPr>
          <w:ilvl w:val="0"/>
          <w:numId w:val="6"/>
        </w:numPr>
      </w:pPr>
      <w:r w:rsidRPr="00FC13A6">
        <w:rPr>
          <w:b/>
        </w:rPr>
        <w:t>Recall</w:t>
      </w:r>
      <w:r>
        <w:t xml:space="preserve"> (</w:t>
      </w:r>
      <w:r>
        <w:t>true positives / (true positives + false negatives)</w:t>
      </w:r>
      <w:r>
        <w:t>) - t</w:t>
      </w:r>
      <w:r>
        <w:t>his represents the % of the actual class w</w:t>
      </w:r>
      <w:r>
        <w:t>e are pulling out of the sample</w:t>
      </w:r>
    </w:p>
    <w:p w14:paraId="77239EDD" w14:textId="79861FB8" w:rsidR="00A01D60" w:rsidRDefault="00FC13A6" w:rsidP="00FC13A6">
      <w:pPr>
        <w:pStyle w:val="ListParagraph"/>
        <w:numPr>
          <w:ilvl w:val="0"/>
          <w:numId w:val="6"/>
        </w:numPr>
      </w:pPr>
      <w:r w:rsidRPr="00FC13A6">
        <w:rPr>
          <w:b/>
        </w:rPr>
        <w:t>f1</w:t>
      </w:r>
      <w:r>
        <w:t xml:space="preserve"> (</w:t>
      </w:r>
      <w:r>
        <w:t>precision * recall / (precision + recall)</w:t>
      </w:r>
      <w:r>
        <w:t>) – represents a measure that combine the precision and recall elments</w:t>
      </w:r>
      <w:bookmarkStart w:id="0" w:name="_GoBack"/>
      <w:bookmarkEnd w:id="0"/>
    </w:p>
    <w:p w14:paraId="512F1416" w14:textId="77777777" w:rsidR="00A32D34" w:rsidRDefault="00A32D34" w:rsidP="00CF007A"/>
    <w:p w14:paraId="41C93FA3" w14:textId="2F9AAABA" w:rsidR="00D3560B" w:rsidRPr="00C4744F" w:rsidRDefault="00D3560B" w:rsidP="00CF007A">
      <w:r w:rsidRPr="00C4744F">
        <w:br w:type="page"/>
      </w:r>
    </w:p>
    <w:p w14:paraId="370EF9BF" w14:textId="4FAD2DF7" w:rsidR="00D3560B" w:rsidRPr="00D3560B" w:rsidRDefault="00D3560B">
      <w:pPr>
        <w:rPr>
          <w:b/>
        </w:rPr>
      </w:pPr>
      <w:r w:rsidRPr="00D3560B">
        <w:rPr>
          <w:b/>
        </w:rPr>
        <w:lastRenderedPageBreak/>
        <w:t>Code</w:t>
      </w:r>
    </w:p>
    <w:p w14:paraId="6A8243F5" w14:textId="77777777" w:rsidR="00043A36" w:rsidRPr="00043A36" w:rsidRDefault="00043A36" w:rsidP="00043A36">
      <w:pPr>
        <w:pStyle w:val="NormalWeb"/>
        <w:spacing w:before="0" w:beforeAutospacing="0" w:after="0" w:afterAutospacing="0"/>
        <w:rPr>
          <w:rFonts w:asciiTheme="minorHAnsi" w:hAnsiTheme="minorHAnsi"/>
          <w:sz w:val="22"/>
          <w:szCs w:val="22"/>
        </w:rPr>
      </w:pPr>
    </w:p>
    <w:p w14:paraId="151E3C46" w14:textId="77777777" w:rsidR="008C53E7" w:rsidRPr="00043A36" w:rsidRDefault="008C53E7" w:rsidP="006B40CB">
      <w:pPr>
        <w:keepNext/>
        <w:autoSpaceDE w:val="0"/>
        <w:autoSpaceDN w:val="0"/>
        <w:adjustRightInd w:val="0"/>
        <w:spacing w:after="0" w:line="240" w:lineRule="auto"/>
        <w:rPr>
          <w:b/>
        </w:rPr>
      </w:pPr>
    </w:p>
    <w:p w14:paraId="2EC086E7" w14:textId="77777777" w:rsidR="00423BDB" w:rsidRDefault="00423BDB">
      <w:pPr>
        <w:rPr>
          <w:b/>
        </w:rPr>
      </w:pPr>
      <w:r>
        <w:rPr>
          <w:b/>
        </w:rPr>
        <w:br w:type="page"/>
      </w:r>
    </w:p>
    <w:p w14:paraId="773E5A4A" w14:textId="08A7F722" w:rsidR="006B40CB" w:rsidRDefault="006B40CB" w:rsidP="006B40CB">
      <w:pPr>
        <w:keepNext/>
        <w:autoSpaceDE w:val="0"/>
        <w:autoSpaceDN w:val="0"/>
        <w:adjustRightInd w:val="0"/>
        <w:spacing w:after="0" w:line="240" w:lineRule="auto"/>
        <w:rPr>
          <w:b/>
        </w:rPr>
      </w:pPr>
      <w:r>
        <w:rPr>
          <w:b/>
        </w:rPr>
        <w:lastRenderedPageBreak/>
        <w:t>References</w:t>
      </w:r>
    </w:p>
    <w:p w14:paraId="7D822336" w14:textId="77777777" w:rsidR="008C53E7" w:rsidRDefault="008C53E7">
      <w:pPr>
        <w:rPr>
          <w:rFonts w:ascii="Calibri" w:hAnsi="Calibri"/>
          <w:color w:val="000000"/>
        </w:rPr>
      </w:pPr>
    </w:p>
    <w:p w14:paraId="4C76AC1D" w14:textId="726392E0" w:rsidR="006B40CB" w:rsidRDefault="006B40CB" w:rsidP="00423BDB"/>
    <w:p w14:paraId="0B9E7524" w14:textId="35646827" w:rsidR="001775CA" w:rsidRDefault="001775CA"/>
    <w:p w14:paraId="5F3CAA76" w14:textId="77777777" w:rsidR="001775CA" w:rsidRDefault="001775CA"/>
    <w:sectPr w:rsidR="001775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EA8A8F" w14:textId="77777777" w:rsidR="001775CA" w:rsidRDefault="001775CA" w:rsidP="001775CA">
      <w:pPr>
        <w:spacing w:after="0" w:line="240" w:lineRule="auto"/>
      </w:pPr>
      <w:r>
        <w:separator/>
      </w:r>
    </w:p>
  </w:endnote>
  <w:endnote w:type="continuationSeparator" w:id="0">
    <w:p w14:paraId="58C6E7FD" w14:textId="77777777" w:rsidR="001775CA" w:rsidRDefault="001775CA" w:rsidP="00177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6150163"/>
      <w:docPartObj>
        <w:docPartGallery w:val="Page Numbers (Bottom of Page)"/>
        <w:docPartUnique/>
      </w:docPartObj>
    </w:sdtPr>
    <w:sdtEndPr>
      <w:rPr>
        <w:noProof/>
      </w:rPr>
    </w:sdtEndPr>
    <w:sdtContent>
      <w:p w14:paraId="3E092F0F" w14:textId="3AB18A60" w:rsidR="00F34933" w:rsidRDefault="00F34933">
        <w:pPr>
          <w:pStyle w:val="Footer"/>
          <w:jc w:val="right"/>
        </w:pPr>
        <w:r>
          <w:fldChar w:fldCharType="begin"/>
        </w:r>
        <w:r>
          <w:instrText xml:space="preserve"> PAGE   \* MERGEFORMAT </w:instrText>
        </w:r>
        <w:r>
          <w:fldChar w:fldCharType="separate"/>
        </w:r>
        <w:r w:rsidR="00FC13A6">
          <w:rPr>
            <w:noProof/>
          </w:rPr>
          <w:t>4</w:t>
        </w:r>
        <w:r>
          <w:rPr>
            <w:noProof/>
          </w:rPr>
          <w:fldChar w:fldCharType="end"/>
        </w:r>
      </w:p>
    </w:sdtContent>
  </w:sdt>
  <w:p w14:paraId="0695DAC9" w14:textId="77777777" w:rsidR="00F34933" w:rsidRDefault="00F349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F59F0F" w14:textId="77777777" w:rsidR="001775CA" w:rsidRDefault="001775CA" w:rsidP="001775CA">
      <w:pPr>
        <w:spacing w:after="0" w:line="240" w:lineRule="auto"/>
      </w:pPr>
      <w:r>
        <w:separator/>
      </w:r>
    </w:p>
  </w:footnote>
  <w:footnote w:type="continuationSeparator" w:id="0">
    <w:p w14:paraId="4B2BBADD" w14:textId="77777777" w:rsidR="001775CA" w:rsidRDefault="001775CA" w:rsidP="001775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031CA" w14:textId="40D84549" w:rsidR="001775CA" w:rsidRDefault="001775CA">
    <w:pPr>
      <w:pStyle w:val="Header"/>
    </w:pPr>
    <w:r>
      <w:t>James Gray</w:t>
    </w:r>
    <w:r>
      <w:tab/>
    </w:r>
    <w:r>
      <w:tab/>
      <w:t>CIS-435 Summer 2015</w:t>
    </w:r>
  </w:p>
  <w:p w14:paraId="6E7C189B" w14:textId="42AD009F" w:rsidR="001775CA" w:rsidRDefault="00FC13A6">
    <w:pPr>
      <w:pStyle w:val="Header"/>
    </w:pPr>
    <w:hyperlink r:id="rId1" w:history="1">
      <w:r w:rsidR="001775CA" w:rsidRPr="00E13719">
        <w:rPr>
          <w:rStyle w:val="Hyperlink"/>
        </w:rPr>
        <w:t>graymatter@u.northwestern.edu</w:t>
      </w:r>
    </w:hyperlink>
    <w:r w:rsidR="00423BDB">
      <w:tab/>
    </w:r>
    <w:r w:rsidR="00423BDB">
      <w:tab/>
      <w:t>Assignment #3 – August 3,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0515F"/>
    <w:multiLevelType w:val="hybridMultilevel"/>
    <w:tmpl w:val="E20C7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FB4303"/>
    <w:multiLevelType w:val="hybridMultilevel"/>
    <w:tmpl w:val="F46EB76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nsid w:val="0F3D46F6"/>
    <w:multiLevelType w:val="hybridMultilevel"/>
    <w:tmpl w:val="2DDC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4E0A56"/>
    <w:multiLevelType w:val="hybridMultilevel"/>
    <w:tmpl w:val="5A0E4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3C6F31"/>
    <w:multiLevelType w:val="hybridMultilevel"/>
    <w:tmpl w:val="0BFC034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5">
    <w:nsid w:val="69622BD9"/>
    <w:multiLevelType w:val="hybridMultilevel"/>
    <w:tmpl w:val="D3D29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B77"/>
    <w:rsid w:val="00003F8F"/>
    <w:rsid w:val="000219E7"/>
    <w:rsid w:val="00031407"/>
    <w:rsid w:val="00043A36"/>
    <w:rsid w:val="00044EEA"/>
    <w:rsid w:val="000472BA"/>
    <w:rsid w:val="00051B5D"/>
    <w:rsid w:val="00060D14"/>
    <w:rsid w:val="000734D2"/>
    <w:rsid w:val="00076DB1"/>
    <w:rsid w:val="00087B5D"/>
    <w:rsid w:val="00096CBD"/>
    <w:rsid w:val="000C5AD3"/>
    <w:rsid w:val="000D3F85"/>
    <w:rsid w:val="000E49AD"/>
    <w:rsid w:val="000F4A67"/>
    <w:rsid w:val="00102C7E"/>
    <w:rsid w:val="00123987"/>
    <w:rsid w:val="001370E2"/>
    <w:rsid w:val="001404CA"/>
    <w:rsid w:val="0014118B"/>
    <w:rsid w:val="001422FB"/>
    <w:rsid w:val="001667D7"/>
    <w:rsid w:val="001775CA"/>
    <w:rsid w:val="0018101C"/>
    <w:rsid w:val="00181CB2"/>
    <w:rsid w:val="001A1266"/>
    <w:rsid w:val="001B5141"/>
    <w:rsid w:val="001B787A"/>
    <w:rsid w:val="001B7B28"/>
    <w:rsid w:val="001F47B1"/>
    <w:rsid w:val="002047B8"/>
    <w:rsid w:val="00207B2D"/>
    <w:rsid w:val="0021677F"/>
    <w:rsid w:val="00233549"/>
    <w:rsid w:val="0023454A"/>
    <w:rsid w:val="00235B36"/>
    <w:rsid w:val="00236D98"/>
    <w:rsid w:val="00253BF8"/>
    <w:rsid w:val="002632D7"/>
    <w:rsid w:val="0028771B"/>
    <w:rsid w:val="002A2042"/>
    <w:rsid w:val="002B1EEA"/>
    <w:rsid w:val="002B65EE"/>
    <w:rsid w:val="002C68AE"/>
    <w:rsid w:val="002C7143"/>
    <w:rsid w:val="002D5AFF"/>
    <w:rsid w:val="002E3F5D"/>
    <w:rsid w:val="002E6DE5"/>
    <w:rsid w:val="002F0A04"/>
    <w:rsid w:val="00306224"/>
    <w:rsid w:val="00316DDC"/>
    <w:rsid w:val="0031708F"/>
    <w:rsid w:val="003369CD"/>
    <w:rsid w:val="00376E32"/>
    <w:rsid w:val="00380D0C"/>
    <w:rsid w:val="003949D4"/>
    <w:rsid w:val="003A1227"/>
    <w:rsid w:val="003A2CD7"/>
    <w:rsid w:val="003A32CF"/>
    <w:rsid w:val="003A70F3"/>
    <w:rsid w:val="003D551C"/>
    <w:rsid w:val="00402FBB"/>
    <w:rsid w:val="00410E7E"/>
    <w:rsid w:val="00411A94"/>
    <w:rsid w:val="00423BDB"/>
    <w:rsid w:val="00425770"/>
    <w:rsid w:val="00427769"/>
    <w:rsid w:val="00432A39"/>
    <w:rsid w:val="0046446D"/>
    <w:rsid w:val="00464534"/>
    <w:rsid w:val="00465042"/>
    <w:rsid w:val="00467046"/>
    <w:rsid w:val="00473152"/>
    <w:rsid w:val="00477377"/>
    <w:rsid w:val="00477914"/>
    <w:rsid w:val="00481EA2"/>
    <w:rsid w:val="00483B2A"/>
    <w:rsid w:val="00486D46"/>
    <w:rsid w:val="00495FE0"/>
    <w:rsid w:val="004A3C7C"/>
    <w:rsid w:val="004B394E"/>
    <w:rsid w:val="004C0FC7"/>
    <w:rsid w:val="004C172F"/>
    <w:rsid w:val="004D4C5A"/>
    <w:rsid w:val="004E15DD"/>
    <w:rsid w:val="004E1E45"/>
    <w:rsid w:val="004E1E90"/>
    <w:rsid w:val="004E2132"/>
    <w:rsid w:val="0050239D"/>
    <w:rsid w:val="005068FB"/>
    <w:rsid w:val="0051125F"/>
    <w:rsid w:val="00516089"/>
    <w:rsid w:val="00517114"/>
    <w:rsid w:val="00522CC0"/>
    <w:rsid w:val="00530351"/>
    <w:rsid w:val="0053215B"/>
    <w:rsid w:val="00533454"/>
    <w:rsid w:val="005349D9"/>
    <w:rsid w:val="00536DA5"/>
    <w:rsid w:val="00545B2D"/>
    <w:rsid w:val="00547037"/>
    <w:rsid w:val="00554DD2"/>
    <w:rsid w:val="00560744"/>
    <w:rsid w:val="00582691"/>
    <w:rsid w:val="005A0BF4"/>
    <w:rsid w:val="005A1F2D"/>
    <w:rsid w:val="005A4A69"/>
    <w:rsid w:val="005A77E8"/>
    <w:rsid w:val="005C0926"/>
    <w:rsid w:val="005D0F29"/>
    <w:rsid w:val="005D675C"/>
    <w:rsid w:val="005E237C"/>
    <w:rsid w:val="00602369"/>
    <w:rsid w:val="00603208"/>
    <w:rsid w:val="0062486A"/>
    <w:rsid w:val="006318F2"/>
    <w:rsid w:val="00640B0F"/>
    <w:rsid w:val="006561FA"/>
    <w:rsid w:val="0066465E"/>
    <w:rsid w:val="00664D63"/>
    <w:rsid w:val="00666E6F"/>
    <w:rsid w:val="006A2EBE"/>
    <w:rsid w:val="006B2A60"/>
    <w:rsid w:val="006B40CB"/>
    <w:rsid w:val="006D794D"/>
    <w:rsid w:val="006E4308"/>
    <w:rsid w:val="00712B5D"/>
    <w:rsid w:val="00717EFE"/>
    <w:rsid w:val="00742D2D"/>
    <w:rsid w:val="00746881"/>
    <w:rsid w:val="007A0CEC"/>
    <w:rsid w:val="007A14C2"/>
    <w:rsid w:val="007A3DF3"/>
    <w:rsid w:val="007C28F4"/>
    <w:rsid w:val="007D2EE0"/>
    <w:rsid w:val="007D46C9"/>
    <w:rsid w:val="007E08A9"/>
    <w:rsid w:val="00811EB0"/>
    <w:rsid w:val="00817972"/>
    <w:rsid w:val="00831ABD"/>
    <w:rsid w:val="0084098E"/>
    <w:rsid w:val="008418F0"/>
    <w:rsid w:val="008518DA"/>
    <w:rsid w:val="00853FC6"/>
    <w:rsid w:val="0085517A"/>
    <w:rsid w:val="00857696"/>
    <w:rsid w:val="0086010D"/>
    <w:rsid w:val="00874A4F"/>
    <w:rsid w:val="008816B8"/>
    <w:rsid w:val="00886453"/>
    <w:rsid w:val="00886B1B"/>
    <w:rsid w:val="008B3894"/>
    <w:rsid w:val="008C53E7"/>
    <w:rsid w:val="008D4037"/>
    <w:rsid w:val="008D4E22"/>
    <w:rsid w:val="008D5BE4"/>
    <w:rsid w:val="008E1BD5"/>
    <w:rsid w:val="008E44EE"/>
    <w:rsid w:val="008E5FDE"/>
    <w:rsid w:val="008F0922"/>
    <w:rsid w:val="008F65DA"/>
    <w:rsid w:val="00907FE5"/>
    <w:rsid w:val="00926464"/>
    <w:rsid w:val="009323E0"/>
    <w:rsid w:val="00933608"/>
    <w:rsid w:val="00950F22"/>
    <w:rsid w:val="009A4F49"/>
    <w:rsid w:val="009A4F74"/>
    <w:rsid w:val="009D2EDF"/>
    <w:rsid w:val="009D3139"/>
    <w:rsid w:val="009D4D4D"/>
    <w:rsid w:val="009E6EB5"/>
    <w:rsid w:val="009E7AB9"/>
    <w:rsid w:val="009F509D"/>
    <w:rsid w:val="00A01D60"/>
    <w:rsid w:val="00A0257E"/>
    <w:rsid w:val="00A069C9"/>
    <w:rsid w:val="00A32D34"/>
    <w:rsid w:val="00A40DF1"/>
    <w:rsid w:val="00A4740B"/>
    <w:rsid w:val="00A561A2"/>
    <w:rsid w:val="00A7058D"/>
    <w:rsid w:val="00A7337A"/>
    <w:rsid w:val="00AB3302"/>
    <w:rsid w:val="00AC3799"/>
    <w:rsid w:val="00AD0402"/>
    <w:rsid w:val="00AD1455"/>
    <w:rsid w:val="00AD199C"/>
    <w:rsid w:val="00AD256E"/>
    <w:rsid w:val="00AE53E8"/>
    <w:rsid w:val="00B02BFD"/>
    <w:rsid w:val="00B51A34"/>
    <w:rsid w:val="00B54305"/>
    <w:rsid w:val="00B624D4"/>
    <w:rsid w:val="00B6479A"/>
    <w:rsid w:val="00B91775"/>
    <w:rsid w:val="00BA52EE"/>
    <w:rsid w:val="00BA7AAF"/>
    <w:rsid w:val="00BC432D"/>
    <w:rsid w:val="00BD4524"/>
    <w:rsid w:val="00C12E11"/>
    <w:rsid w:val="00C16965"/>
    <w:rsid w:val="00C1774E"/>
    <w:rsid w:val="00C263C0"/>
    <w:rsid w:val="00C34BF0"/>
    <w:rsid w:val="00C36CC5"/>
    <w:rsid w:val="00C36D07"/>
    <w:rsid w:val="00C4744F"/>
    <w:rsid w:val="00C47F3F"/>
    <w:rsid w:val="00C65D46"/>
    <w:rsid w:val="00CB079B"/>
    <w:rsid w:val="00CC21DF"/>
    <w:rsid w:val="00CC544E"/>
    <w:rsid w:val="00CC54E0"/>
    <w:rsid w:val="00CE2232"/>
    <w:rsid w:val="00CE6CFB"/>
    <w:rsid w:val="00CF007A"/>
    <w:rsid w:val="00D06A57"/>
    <w:rsid w:val="00D24B41"/>
    <w:rsid w:val="00D32B02"/>
    <w:rsid w:val="00D3560B"/>
    <w:rsid w:val="00D41AFD"/>
    <w:rsid w:val="00D4302A"/>
    <w:rsid w:val="00D4342F"/>
    <w:rsid w:val="00D54E65"/>
    <w:rsid w:val="00D55653"/>
    <w:rsid w:val="00D55F6F"/>
    <w:rsid w:val="00D66832"/>
    <w:rsid w:val="00D8576B"/>
    <w:rsid w:val="00D90287"/>
    <w:rsid w:val="00D90C52"/>
    <w:rsid w:val="00DB5A97"/>
    <w:rsid w:val="00DC1920"/>
    <w:rsid w:val="00DC4156"/>
    <w:rsid w:val="00DC7F32"/>
    <w:rsid w:val="00DE3119"/>
    <w:rsid w:val="00DE4B56"/>
    <w:rsid w:val="00DF0AA4"/>
    <w:rsid w:val="00DF7FCA"/>
    <w:rsid w:val="00E00977"/>
    <w:rsid w:val="00E50595"/>
    <w:rsid w:val="00E57B9C"/>
    <w:rsid w:val="00E63E97"/>
    <w:rsid w:val="00E64EEB"/>
    <w:rsid w:val="00E97B77"/>
    <w:rsid w:val="00EB221A"/>
    <w:rsid w:val="00EB4936"/>
    <w:rsid w:val="00EB6ECA"/>
    <w:rsid w:val="00EC046B"/>
    <w:rsid w:val="00EC667F"/>
    <w:rsid w:val="00EE51E2"/>
    <w:rsid w:val="00EF1E57"/>
    <w:rsid w:val="00F207C1"/>
    <w:rsid w:val="00F23332"/>
    <w:rsid w:val="00F34933"/>
    <w:rsid w:val="00F4583C"/>
    <w:rsid w:val="00F527A2"/>
    <w:rsid w:val="00F528F0"/>
    <w:rsid w:val="00F5552E"/>
    <w:rsid w:val="00F64FEB"/>
    <w:rsid w:val="00F738BA"/>
    <w:rsid w:val="00F861B9"/>
    <w:rsid w:val="00F87BC4"/>
    <w:rsid w:val="00F908FB"/>
    <w:rsid w:val="00FA0758"/>
    <w:rsid w:val="00FA2311"/>
    <w:rsid w:val="00FB7018"/>
    <w:rsid w:val="00FC0E78"/>
    <w:rsid w:val="00FC13A6"/>
    <w:rsid w:val="00FC4B28"/>
    <w:rsid w:val="00FD1647"/>
    <w:rsid w:val="00FD3993"/>
    <w:rsid w:val="00FE00BC"/>
    <w:rsid w:val="00FE189A"/>
    <w:rsid w:val="00FE536F"/>
    <w:rsid w:val="00FE5FC2"/>
    <w:rsid w:val="00FF413C"/>
    <w:rsid w:val="00FF6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43EB6"/>
  <w15:chartTrackingRefBased/>
  <w15:docId w15:val="{0E129D96-3972-4151-8E18-D8A6C8085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5CA"/>
  </w:style>
  <w:style w:type="paragraph" w:styleId="Footer">
    <w:name w:val="footer"/>
    <w:basedOn w:val="Normal"/>
    <w:link w:val="FooterChar"/>
    <w:uiPriority w:val="99"/>
    <w:unhideWhenUsed/>
    <w:rsid w:val="00177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5CA"/>
  </w:style>
  <w:style w:type="character" w:styleId="Hyperlink">
    <w:name w:val="Hyperlink"/>
    <w:basedOn w:val="DefaultParagraphFont"/>
    <w:uiPriority w:val="99"/>
    <w:unhideWhenUsed/>
    <w:rsid w:val="001775CA"/>
    <w:rPr>
      <w:color w:val="0563C1" w:themeColor="hyperlink"/>
      <w:u w:val="single"/>
    </w:rPr>
  </w:style>
  <w:style w:type="table" w:styleId="TableGrid">
    <w:name w:val="Table Grid"/>
    <w:basedOn w:val="TableNormal"/>
    <w:uiPriority w:val="39"/>
    <w:rsid w:val="00F527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49D9"/>
    <w:pPr>
      <w:ind w:left="720"/>
      <w:contextualSpacing/>
    </w:pPr>
  </w:style>
  <w:style w:type="paragraph" w:styleId="NormalWeb">
    <w:name w:val="Normal (Web)"/>
    <w:basedOn w:val="Normal"/>
    <w:uiPriority w:val="99"/>
    <w:semiHidden/>
    <w:unhideWhenUsed/>
    <w:rsid w:val="00D90C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184517">
      <w:bodyDiv w:val="1"/>
      <w:marLeft w:val="0"/>
      <w:marRight w:val="0"/>
      <w:marTop w:val="0"/>
      <w:marBottom w:val="0"/>
      <w:divBdr>
        <w:top w:val="none" w:sz="0" w:space="0" w:color="auto"/>
        <w:left w:val="none" w:sz="0" w:space="0" w:color="auto"/>
        <w:bottom w:val="none" w:sz="0" w:space="0" w:color="auto"/>
        <w:right w:val="none" w:sz="0" w:space="0" w:color="auto"/>
      </w:divBdr>
    </w:div>
    <w:div w:id="1168982041">
      <w:bodyDiv w:val="1"/>
      <w:marLeft w:val="0"/>
      <w:marRight w:val="0"/>
      <w:marTop w:val="0"/>
      <w:marBottom w:val="0"/>
      <w:divBdr>
        <w:top w:val="none" w:sz="0" w:space="0" w:color="auto"/>
        <w:left w:val="none" w:sz="0" w:space="0" w:color="auto"/>
        <w:bottom w:val="none" w:sz="0" w:space="0" w:color="auto"/>
        <w:right w:val="none" w:sz="0" w:space="0" w:color="auto"/>
      </w:divBdr>
    </w:div>
    <w:div w:id="160662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graymatter@u.northweste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Gray</dc:creator>
  <cp:keywords/>
  <dc:description/>
  <cp:lastModifiedBy>James Gray</cp:lastModifiedBy>
  <cp:revision>8</cp:revision>
  <dcterms:created xsi:type="dcterms:W3CDTF">2014-07-26T23:07:00Z</dcterms:created>
  <dcterms:modified xsi:type="dcterms:W3CDTF">2014-08-06T01:55:00Z</dcterms:modified>
</cp:coreProperties>
</file>