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C8F" w:rsidRDefault="00E12D13">
      <w:r>
        <w:t xml:space="preserve">Has successfully represented </w:t>
      </w:r>
      <w:r w:rsidR="005A3793">
        <w:t>client</w:t>
      </w:r>
      <w:r>
        <w:t>s on a broad range of</w:t>
      </w:r>
      <w:r w:rsidR="005A3793">
        <w:t xml:space="preserve"> issues</w:t>
      </w:r>
      <w:r>
        <w:t xml:space="preserve"> and industries, including electric markets, energy, oil and gas, natural resources, water, transportation, telecommunications, insurance, associations, counties, and highly regulated entities.  </w:t>
      </w:r>
      <w:r w:rsidR="00043600">
        <w:t xml:space="preserve">Past and present clients include: </w:t>
      </w:r>
    </w:p>
    <w:p w:rsidR="00043600" w:rsidRDefault="00043600"/>
    <w:p w:rsidR="00043600" w:rsidRPr="00043600" w:rsidRDefault="00043600" w:rsidP="00043600">
      <w:pPr>
        <w:rPr>
          <w:rFonts w:eastAsia="Times New Roman" w:cs="Arial"/>
          <w:color w:val="262626"/>
          <w:sz w:val="18"/>
          <w:szCs w:val="18"/>
        </w:rPr>
      </w:pPr>
      <w:r w:rsidRPr="00043600">
        <w:rPr>
          <w:rFonts w:eastAsia="Times New Roman" w:cs="Arial"/>
          <w:color w:val="262626"/>
          <w:sz w:val="18"/>
          <w:szCs w:val="18"/>
        </w:rPr>
        <w:t>Association of Electric Companies of Texas </w:t>
      </w:r>
    </w:p>
    <w:p w:rsidR="00043600" w:rsidRPr="00043600" w:rsidRDefault="00043600" w:rsidP="00043600">
      <w:pPr>
        <w:rPr>
          <w:rFonts w:eastAsia="Times New Roman" w:cs="Arial"/>
          <w:color w:val="262626"/>
          <w:sz w:val="18"/>
          <w:szCs w:val="18"/>
        </w:rPr>
      </w:pPr>
      <w:r w:rsidRPr="00043600">
        <w:rPr>
          <w:rFonts w:eastAsia="Times New Roman" w:cs="Arial"/>
          <w:color w:val="262626"/>
          <w:sz w:val="18"/>
          <w:szCs w:val="18"/>
        </w:rPr>
        <w:t>National Association of</w:t>
      </w:r>
      <w:bookmarkStart w:id="0" w:name="_GoBack"/>
      <w:bookmarkEnd w:id="0"/>
      <w:r w:rsidRPr="00043600">
        <w:rPr>
          <w:rFonts w:eastAsia="Times New Roman" w:cs="Arial"/>
          <w:color w:val="262626"/>
          <w:sz w:val="18"/>
          <w:szCs w:val="18"/>
        </w:rPr>
        <w:t xml:space="preserve"> Royalty Owners-Texas, Inc</w:t>
      </w:r>
    </w:p>
    <w:p w:rsidR="00043600" w:rsidRPr="00043600" w:rsidRDefault="00043600" w:rsidP="00043600">
      <w:pPr>
        <w:rPr>
          <w:rFonts w:eastAsia="Times New Roman" w:cs="Arial"/>
          <w:color w:val="262626"/>
          <w:sz w:val="18"/>
          <w:szCs w:val="18"/>
        </w:rPr>
      </w:pPr>
      <w:r w:rsidRPr="00043600">
        <w:rPr>
          <w:rFonts w:eastAsia="Times New Roman" w:cs="Arial"/>
          <w:color w:val="262626"/>
          <w:sz w:val="18"/>
          <w:szCs w:val="18"/>
        </w:rPr>
        <w:t>Texas Petroleum Marketers &amp; Convenience Store Association </w:t>
      </w:r>
    </w:p>
    <w:p w:rsidR="00043600" w:rsidRPr="00043600" w:rsidRDefault="00043600" w:rsidP="00043600">
      <w:pPr>
        <w:rPr>
          <w:rFonts w:eastAsia="Times New Roman" w:cs="Arial"/>
          <w:color w:val="262626"/>
          <w:sz w:val="18"/>
          <w:szCs w:val="18"/>
        </w:rPr>
      </w:pPr>
      <w:r w:rsidRPr="00043600">
        <w:rPr>
          <w:rFonts w:eastAsia="Times New Roman" w:cs="Arial"/>
          <w:color w:val="262626"/>
          <w:sz w:val="18"/>
          <w:szCs w:val="18"/>
        </w:rPr>
        <w:t>City of Harlingen</w:t>
      </w:r>
    </w:p>
    <w:p w:rsidR="00043600" w:rsidRPr="00043600" w:rsidRDefault="00043600" w:rsidP="00043600">
      <w:pPr>
        <w:rPr>
          <w:rFonts w:eastAsia="Times New Roman" w:cs="Arial"/>
          <w:color w:val="262626"/>
          <w:sz w:val="18"/>
          <w:szCs w:val="18"/>
        </w:rPr>
      </w:pPr>
      <w:r w:rsidRPr="00043600">
        <w:rPr>
          <w:rFonts w:eastAsia="Times New Roman" w:cs="Arial"/>
          <w:color w:val="262626"/>
          <w:sz w:val="18"/>
          <w:szCs w:val="18"/>
        </w:rPr>
        <w:t>Connect Texas</w:t>
      </w:r>
    </w:p>
    <w:p w:rsidR="00043600" w:rsidRPr="00043600" w:rsidRDefault="00043600" w:rsidP="00043600">
      <w:pPr>
        <w:rPr>
          <w:rFonts w:eastAsia="Times New Roman" w:cs="Arial"/>
          <w:color w:val="262626"/>
          <w:sz w:val="18"/>
          <w:szCs w:val="18"/>
        </w:rPr>
      </w:pPr>
      <w:r w:rsidRPr="00043600">
        <w:rPr>
          <w:rFonts w:eastAsia="Times New Roman" w:cs="Arial"/>
          <w:color w:val="262626"/>
          <w:sz w:val="18"/>
          <w:szCs w:val="18"/>
        </w:rPr>
        <w:t>Guadalupe-Blanco River Authority</w:t>
      </w:r>
    </w:p>
    <w:p w:rsidR="00043600" w:rsidRPr="00043600" w:rsidRDefault="00043600" w:rsidP="00043600">
      <w:pPr>
        <w:rPr>
          <w:rFonts w:eastAsia="Times New Roman" w:cs="Arial"/>
          <w:color w:val="262626"/>
          <w:sz w:val="18"/>
          <w:szCs w:val="18"/>
        </w:rPr>
      </w:pPr>
      <w:r w:rsidRPr="00043600">
        <w:rPr>
          <w:rFonts w:eastAsia="Times New Roman" w:cs="Arial"/>
          <w:color w:val="262626"/>
          <w:sz w:val="18"/>
          <w:szCs w:val="18"/>
        </w:rPr>
        <w:t>Lava-Navidad River Authority </w:t>
      </w:r>
    </w:p>
    <w:p w:rsidR="00043600" w:rsidRPr="00043600" w:rsidRDefault="00043600" w:rsidP="00043600">
      <w:pPr>
        <w:rPr>
          <w:rFonts w:eastAsia="Times New Roman" w:cs="Arial"/>
          <w:color w:val="262626"/>
          <w:sz w:val="18"/>
          <w:szCs w:val="18"/>
        </w:rPr>
      </w:pPr>
      <w:r w:rsidRPr="00043600">
        <w:rPr>
          <w:rFonts w:eastAsia="Times New Roman" w:cs="Arial"/>
          <w:color w:val="262626"/>
          <w:sz w:val="18"/>
          <w:szCs w:val="18"/>
        </w:rPr>
        <w:t>Southwestern Bell Telephone Company</w:t>
      </w:r>
    </w:p>
    <w:p w:rsidR="00043600" w:rsidRPr="00043600" w:rsidRDefault="00043600" w:rsidP="00043600">
      <w:pPr>
        <w:rPr>
          <w:rFonts w:eastAsia="Times New Roman" w:cs="Arial"/>
          <w:color w:val="262626"/>
          <w:sz w:val="18"/>
          <w:szCs w:val="18"/>
        </w:rPr>
      </w:pPr>
      <w:r w:rsidRPr="00043600">
        <w:rPr>
          <w:rFonts w:eastAsia="Times New Roman" w:cs="Arial"/>
          <w:color w:val="262626"/>
          <w:sz w:val="18"/>
          <w:szCs w:val="18"/>
        </w:rPr>
        <w:t>Texas Manufactured Housing Association </w:t>
      </w:r>
    </w:p>
    <w:p w:rsidR="00043600" w:rsidRPr="00043600" w:rsidRDefault="00043600" w:rsidP="00043600">
      <w:pPr>
        <w:rPr>
          <w:rFonts w:eastAsia="Times New Roman" w:cs="Arial"/>
          <w:color w:val="262626"/>
          <w:sz w:val="18"/>
          <w:szCs w:val="18"/>
        </w:rPr>
      </w:pPr>
      <w:r w:rsidRPr="00043600">
        <w:rPr>
          <w:rFonts w:eastAsia="Times New Roman" w:cs="Arial"/>
          <w:color w:val="262626"/>
          <w:sz w:val="18"/>
          <w:szCs w:val="18"/>
        </w:rPr>
        <w:t>Bluebonnet Electric Cooperative, Inc</w:t>
      </w:r>
    </w:p>
    <w:p w:rsidR="00043600" w:rsidRPr="00043600" w:rsidRDefault="00043600" w:rsidP="00043600">
      <w:pPr>
        <w:rPr>
          <w:rFonts w:eastAsia="Times New Roman" w:cs="Arial"/>
          <w:color w:val="262626"/>
          <w:sz w:val="18"/>
          <w:szCs w:val="18"/>
        </w:rPr>
      </w:pPr>
      <w:r w:rsidRPr="00043600">
        <w:rPr>
          <w:rFonts w:eastAsia="Times New Roman" w:cs="Arial"/>
          <w:color w:val="262626"/>
          <w:sz w:val="18"/>
          <w:szCs w:val="18"/>
        </w:rPr>
        <w:t>Craft Brewers Association of Texas </w:t>
      </w:r>
    </w:p>
    <w:p w:rsidR="00043600" w:rsidRPr="00043600" w:rsidRDefault="00043600" w:rsidP="00043600">
      <w:pPr>
        <w:rPr>
          <w:rFonts w:eastAsia="Times New Roman" w:cs="Arial"/>
          <w:color w:val="262626"/>
          <w:sz w:val="18"/>
          <w:szCs w:val="18"/>
        </w:rPr>
      </w:pPr>
      <w:r w:rsidRPr="00043600">
        <w:rPr>
          <w:rFonts w:eastAsia="Times New Roman" w:cs="Arial"/>
          <w:color w:val="262626"/>
          <w:sz w:val="18"/>
          <w:szCs w:val="18"/>
        </w:rPr>
        <w:t>Resource Conservation &amp; Development Areas</w:t>
      </w:r>
    </w:p>
    <w:p w:rsidR="00043600" w:rsidRPr="00043600" w:rsidRDefault="00043600" w:rsidP="00043600">
      <w:pPr>
        <w:rPr>
          <w:rFonts w:eastAsia="Times New Roman" w:cs="Arial"/>
          <w:color w:val="262626"/>
          <w:sz w:val="18"/>
          <w:szCs w:val="18"/>
        </w:rPr>
      </w:pPr>
      <w:r w:rsidRPr="00043600">
        <w:rPr>
          <w:rFonts w:eastAsia="Times New Roman" w:cs="Arial"/>
          <w:color w:val="262626"/>
          <w:sz w:val="18"/>
          <w:szCs w:val="18"/>
        </w:rPr>
        <w:t>Henry S. Miller Commercial Company </w:t>
      </w:r>
    </w:p>
    <w:p w:rsidR="00043600" w:rsidRPr="00043600" w:rsidRDefault="00043600" w:rsidP="00043600">
      <w:pPr>
        <w:rPr>
          <w:rFonts w:eastAsia="Times New Roman" w:cs="Arial"/>
          <w:color w:val="262626"/>
          <w:sz w:val="18"/>
          <w:szCs w:val="18"/>
        </w:rPr>
      </w:pPr>
      <w:r w:rsidRPr="00043600">
        <w:rPr>
          <w:rFonts w:eastAsia="Times New Roman" w:cs="Arial"/>
          <w:color w:val="262626"/>
          <w:sz w:val="18"/>
          <w:szCs w:val="18"/>
        </w:rPr>
        <w:t>Tex Lee Operating Co.</w:t>
      </w:r>
    </w:p>
    <w:p w:rsidR="00043600" w:rsidRPr="00043600" w:rsidRDefault="00043600" w:rsidP="00043600">
      <w:pPr>
        <w:rPr>
          <w:rFonts w:eastAsia="Times New Roman" w:cs="Arial"/>
          <w:color w:val="262626"/>
          <w:sz w:val="18"/>
          <w:szCs w:val="18"/>
        </w:rPr>
      </w:pPr>
      <w:r w:rsidRPr="00043600">
        <w:rPr>
          <w:rFonts w:eastAsia="Times New Roman" w:cs="Arial"/>
          <w:color w:val="262626"/>
          <w:sz w:val="18"/>
          <w:szCs w:val="18"/>
        </w:rPr>
        <w:t>Alliance for Retail Markets</w:t>
      </w:r>
    </w:p>
    <w:p w:rsidR="00043600" w:rsidRPr="00043600" w:rsidRDefault="00043600" w:rsidP="00043600">
      <w:pPr>
        <w:rPr>
          <w:rFonts w:eastAsia="Times New Roman" w:cs="Arial"/>
          <w:color w:val="262626"/>
          <w:sz w:val="18"/>
          <w:szCs w:val="18"/>
        </w:rPr>
      </w:pPr>
      <w:r w:rsidRPr="00043600">
        <w:rPr>
          <w:rFonts w:eastAsia="Times New Roman" w:cs="Arial"/>
          <w:color w:val="262626"/>
          <w:sz w:val="18"/>
          <w:szCs w:val="18"/>
        </w:rPr>
        <w:t>ICA-Infrastructure Corporation of America </w:t>
      </w:r>
    </w:p>
    <w:p w:rsidR="00043600" w:rsidRPr="00043600" w:rsidRDefault="00043600" w:rsidP="00043600">
      <w:pPr>
        <w:rPr>
          <w:rFonts w:eastAsia="Times New Roman" w:cs="Arial"/>
          <w:color w:val="262626"/>
          <w:sz w:val="18"/>
          <w:szCs w:val="18"/>
        </w:rPr>
      </w:pPr>
      <w:r w:rsidRPr="00043600">
        <w:rPr>
          <w:rFonts w:eastAsia="Times New Roman" w:cs="Arial"/>
          <w:color w:val="262626"/>
          <w:sz w:val="18"/>
          <w:szCs w:val="18"/>
        </w:rPr>
        <w:t>Texas Building Centers Association</w:t>
      </w:r>
    </w:p>
    <w:p w:rsidR="00043600" w:rsidRPr="00043600" w:rsidRDefault="00043600" w:rsidP="00043600">
      <w:pPr>
        <w:rPr>
          <w:rFonts w:eastAsia="Times New Roman" w:cs="Arial"/>
          <w:color w:val="262626"/>
          <w:sz w:val="18"/>
          <w:szCs w:val="18"/>
        </w:rPr>
      </w:pPr>
      <w:r w:rsidRPr="00043600">
        <w:rPr>
          <w:rFonts w:eastAsia="Times New Roman" w:cs="Arial"/>
          <w:color w:val="262626"/>
          <w:sz w:val="18"/>
          <w:szCs w:val="18"/>
        </w:rPr>
        <w:t>International Game Technology </w:t>
      </w:r>
    </w:p>
    <w:p w:rsidR="00043600" w:rsidRPr="00043600" w:rsidRDefault="00043600" w:rsidP="00043600">
      <w:pPr>
        <w:rPr>
          <w:rFonts w:eastAsia="Times New Roman" w:cs="Arial"/>
          <w:color w:val="262626"/>
          <w:sz w:val="18"/>
          <w:szCs w:val="18"/>
        </w:rPr>
      </w:pPr>
      <w:r w:rsidRPr="00043600">
        <w:rPr>
          <w:rFonts w:eastAsia="Times New Roman" w:cs="Arial"/>
          <w:color w:val="262626"/>
          <w:sz w:val="18"/>
          <w:szCs w:val="18"/>
        </w:rPr>
        <w:t>Port of Victoria </w:t>
      </w:r>
    </w:p>
    <w:p w:rsidR="00043600" w:rsidRPr="00043600" w:rsidRDefault="00043600" w:rsidP="00043600">
      <w:pPr>
        <w:rPr>
          <w:rFonts w:eastAsia="Times New Roman" w:cs="Arial"/>
          <w:color w:val="262626"/>
          <w:sz w:val="18"/>
          <w:szCs w:val="18"/>
        </w:rPr>
      </w:pPr>
      <w:r w:rsidRPr="00043600">
        <w:rPr>
          <w:rFonts w:eastAsia="Times New Roman" w:cs="Arial"/>
          <w:color w:val="262626"/>
          <w:sz w:val="18"/>
          <w:szCs w:val="18"/>
        </w:rPr>
        <w:t>Texas Bowling Centers Association </w:t>
      </w:r>
    </w:p>
    <w:p w:rsidR="00043600" w:rsidRPr="00043600" w:rsidRDefault="00043600" w:rsidP="00043600">
      <w:pPr>
        <w:rPr>
          <w:rFonts w:eastAsia="Times New Roman" w:cs="Arial"/>
          <w:color w:val="262626"/>
          <w:sz w:val="18"/>
          <w:szCs w:val="18"/>
        </w:rPr>
      </w:pPr>
      <w:r w:rsidRPr="00043600">
        <w:rPr>
          <w:rFonts w:eastAsia="Times New Roman" w:cs="Arial"/>
          <w:color w:val="262626"/>
          <w:sz w:val="18"/>
          <w:szCs w:val="18"/>
        </w:rPr>
        <w:t>Virginia Maintenance Corporation </w:t>
      </w:r>
    </w:p>
    <w:p w:rsidR="00043600" w:rsidRPr="00043600" w:rsidRDefault="00043600" w:rsidP="00043600">
      <w:pPr>
        <w:rPr>
          <w:rFonts w:eastAsia="Times New Roman" w:cs="Arial"/>
          <w:color w:val="262626"/>
          <w:sz w:val="18"/>
          <w:szCs w:val="18"/>
        </w:rPr>
      </w:pPr>
      <w:r w:rsidRPr="00043600">
        <w:rPr>
          <w:rFonts w:eastAsia="Times New Roman" w:cs="Arial"/>
          <w:color w:val="262626"/>
          <w:sz w:val="18"/>
          <w:szCs w:val="18"/>
        </w:rPr>
        <w:t>American Oil &amp; Gas LLC</w:t>
      </w:r>
    </w:p>
    <w:p w:rsidR="00043600" w:rsidRPr="00043600" w:rsidRDefault="00043600" w:rsidP="00043600">
      <w:pPr>
        <w:rPr>
          <w:rFonts w:eastAsia="Times New Roman" w:cs="Arial"/>
          <w:color w:val="262626"/>
          <w:sz w:val="18"/>
          <w:szCs w:val="18"/>
        </w:rPr>
      </w:pPr>
      <w:r w:rsidRPr="00043600">
        <w:rPr>
          <w:rFonts w:eastAsia="Times New Roman" w:cs="Arial"/>
          <w:color w:val="262626"/>
          <w:sz w:val="18"/>
          <w:szCs w:val="18"/>
        </w:rPr>
        <w:t>Great-West Life &amp; Annuity Company </w:t>
      </w:r>
    </w:p>
    <w:p w:rsidR="00043600" w:rsidRPr="00043600" w:rsidRDefault="00043600" w:rsidP="00043600">
      <w:pPr>
        <w:rPr>
          <w:rFonts w:eastAsia="Times New Roman" w:cs="Arial"/>
          <w:color w:val="262626"/>
          <w:sz w:val="18"/>
          <w:szCs w:val="18"/>
        </w:rPr>
      </w:pPr>
      <w:r w:rsidRPr="00043600">
        <w:rPr>
          <w:rFonts w:eastAsia="Times New Roman" w:cs="Arial"/>
          <w:color w:val="262626"/>
          <w:sz w:val="18"/>
          <w:szCs w:val="18"/>
        </w:rPr>
        <w:t>Texas Business for Educational Excellence </w:t>
      </w:r>
    </w:p>
    <w:p w:rsidR="00043600" w:rsidRPr="00043600" w:rsidRDefault="00043600" w:rsidP="00043600">
      <w:pPr>
        <w:rPr>
          <w:rFonts w:eastAsia="Times New Roman" w:cs="Arial"/>
          <w:color w:val="262626"/>
          <w:sz w:val="18"/>
          <w:szCs w:val="18"/>
        </w:rPr>
      </w:pPr>
      <w:r w:rsidRPr="00043600">
        <w:rPr>
          <w:rFonts w:eastAsia="Times New Roman" w:cs="Arial"/>
          <w:color w:val="262626"/>
          <w:sz w:val="18"/>
          <w:szCs w:val="18"/>
        </w:rPr>
        <w:t>Texas Association of Mutual Insurance Companies </w:t>
      </w:r>
    </w:p>
    <w:p w:rsidR="00043600" w:rsidRPr="00043600" w:rsidRDefault="00043600" w:rsidP="00043600">
      <w:pPr>
        <w:rPr>
          <w:rFonts w:eastAsia="Times New Roman" w:cs="Arial"/>
          <w:color w:val="262626"/>
          <w:sz w:val="18"/>
          <w:szCs w:val="18"/>
        </w:rPr>
      </w:pPr>
      <w:r w:rsidRPr="00043600">
        <w:rPr>
          <w:rFonts w:eastAsia="Times New Roman" w:cs="Arial"/>
          <w:color w:val="262626"/>
          <w:sz w:val="18"/>
          <w:szCs w:val="18"/>
        </w:rPr>
        <w:t>The Humane Society of the United States</w:t>
      </w:r>
    </w:p>
    <w:p w:rsidR="00043600" w:rsidRPr="00043600" w:rsidRDefault="00043600" w:rsidP="00043600">
      <w:pPr>
        <w:rPr>
          <w:rFonts w:eastAsia="Times New Roman" w:cs="Arial"/>
          <w:color w:val="262626"/>
          <w:sz w:val="18"/>
          <w:szCs w:val="18"/>
        </w:rPr>
      </w:pPr>
      <w:r w:rsidRPr="00043600">
        <w:rPr>
          <w:rFonts w:eastAsia="Times New Roman" w:cs="Arial"/>
          <w:color w:val="262626"/>
          <w:sz w:val="18"/>
          <w:szCs w:val="18"/>
        </w:rPr>
        <w:t xml:space="preserve">AT&amp;T </w:t>
      </w:r>
    </w:p>
    <w:p w:rsidR="00043600" w:rsidRPr="00043600" w:rsidRDefault="00043600" w:rsidP="00043600">
      <w:pPr>
        <w:rPr>
          <w:rFonts w:eastAsia="Times New Roman" w:cs="Arial"/>
          <w:color w:val="262626"/>
          <w:sz w:val="18"/>
          <w:szCs w:val="18"/>
        </w:rPr>
      </w:pPr>
      <w:r w:rsidRPr="00043600">
        <w:rPr>
          <w:rFonts w:eastAsia="Times New Roman" w:cs="Arial"/>
          <w:color w:val="262626"/>
          <w:sz w:val="18"/>
          <w:szCs w:val="18"/>
        </w:rPr>
        <w:t>Texas City Terminal Railway Company </w:t>
      </w:r>
    </w:p>
    <w:p w:rsidR="00043600" w:rsidRPr="00043600" w:rsidRDefault="00043600" w:rsidP="00043600">
      <w:pPr>
        <w:rPr>
          <w:rFonts w:eastAsia="Times New Roman" w:cs="Arial"/>
          <w:color w:val="262626"/>
          <w:sz w:val="18"/>
          <w:szCs w:val="18"/>
        </w:rPr>
      </w:pPr>
      <w:r w:rsidRPr="00043600">
        <w:rPr>
          <w:rFonts w:eastAsia="Times New Roman" w:cs="Arial"/>
          <w:color w:val="262626"/>
          <w:sz w:val="18"/>
          <w:szCs w:val="18"/>
        </w:rPr>
        <w:t>Transfield Services </w:t>
      </w:r>
    </w:p>
    <w:p w:rsidR="00043600" w:rsidRPr="00043600" w:rsidRDefault="00043600" w:rsidP="00043600">
      <w:pPr>
        <w:rPr>
          <w:rFonts w:eastAsia="Times New Roman" w:cs="Arial"/>
          <w:color w:val="262626"/>
          <w:sz w:val="18"/>
          <w:szCs w:val="18"/>
        </w:rPr>
      </w:pPr>
      <w:r w:rsidRPr="00043600">
        <w:rPr>
          <w:rFonts w:eastAsia="Times New Roman" w:cs="Arial"/>
          <w:color w:val="262626"/>
          <w:sz w:val="18"/>
          <w:szCs w:val="18"/>
        </w:rPr>
        <w:t>Angelina Neches River Authority </w:t>
      </w:r>
    </w:p>
    <w:p w:rsidR="00043600" w:rsidRPr="00043600" w:rsidRDefault="00043600" w:rsidP="00043600">
      <w:pPr>
        <w:rPr>
          <w:rFonts w:eastAsia="Times New Roman" w:cs="Arial"/>
          <w:color w:val="262626"/>
          <w:sz w:val="18"/>
          <w:szCs w:val="18"/>
        </w:rPr>
      </w:pPr>
      <w:r w:rsidRPr="00043600">
        <w:rPr>
          <w:rFonts w:eastAsia="Times New Roman" w:cs="Arial"/>
          <w:color w:val="262626"/>
          <w:sz w:val="18"/>
          <w:szCs w:val="18"/>
        </w:rPr>
        <w:t>CIGNA</w:t>
      </w:r>
    </w:p>
    <w:p w:rsidR="00043600" w:rsidRPr="00043600" w:rsidRDefault="00043600" w:rsidP="00043600">
      <w:pPr>
        <w:rPr>
          <w:rFonts w:eastAsia="Times New Roman" w:cs="Arial"/>
          <w:color w:val="262626"/>
          <w:sz w:val="18"/>
          <w:szCs w:val="18"/>
        </w:rPr>
      </w:pPr>
      <w:r w:rsidRPr="00043600">
        <w:rPr>
          <w:rFonts w:eastAsia="Times New Roman" w:cs="Arial"/>
          <w:color w:val="262626"/>
          <w:sz w:val="18"/>
          <w:szCs w:val="18"/>
        </w:rPr>
        <w:t>RegionalCare Hospital Partners, Inc. </w:t>
      </w:r>
    </w:p>
    <w:p w:rsidR="00043600" w:rsidRPr="00043600" w:rsidRDefault="00043600" w:rsidP="00043600">
      <w:pPr>
        <w:rPr>
          <w:rFonts w:eastAsia="Times New Roman" w:cs="Arial"/>
          <w:color w:val="262626"/>
          <w:sz w:val="18"/>
          <w:szCs w:val="18"/>
        </w:rPr>
      </w:pPr>
      <w:r w:rsidRPr="00043600">
        <w:rPr>
          <w:rFonts w:eastAsia="Times New Roman" w:cs="Arial"/>
          <w:color w:val="262626"/>
          <w:sz w:val="18"/>
          <w:szCs w:val="18"/>
        </w:rPr>
        <w:t>Sodexo Services of Texas </w:t>
      </w:r>
    </w:p>
    <w:p w:rsidR="00043600" w:rsidRPr="00043600" w:rsidRDefault="00043600" w:rsidP="00043600">
      <w:pPr>
        <w:rPr>
          <w:rFonts w:eastAsia="Times New Roman" w:cs="Arial"/>
          <w:color w:val="262626"/>
          <w:sz w:val="18"/>
          <w:szCs w:val="18"/>
        </w:rPr>
      </w:pPr>
      <w:r w:rsidRPr="00043600">
        <w:rPr>
          <w:rFonts w:eastAsia="Times New Roman" w:cs="Arial"/>
          <w:color w:val="262626"/>
          <w:sz w:val="18"/>
          <w:szCs w:val="18"/>
        </w:rPr>
        <w:t>Barrett Daffin Frappier Turner &amp; Engel, LLP</w:t>
      </w:r>
    </w:p>
    <w:p w:rsidR="00043600" w:rsidRPr="00043600" w:rsidRDefault="00043600" w:rsidP="00043600">
      <w:pPr>
        <w:rPr>
          <w:rFonts w:eastAsia="Times New Roman" w:cs="Arial"/>
          <w:color w:val="262626"/>
          <w:sz w:val="18"/>
          <w:szCs w:val="18"/>
        </w:rPr>
      </w:pPr>
      <w:r w:rsidRPr="00043600">
        <w:rPr>
          <w:rFonts w:eastAsia="Times New Roman" w:cs="Arial"/>
          <w:color w:val="262626"/>
          <w:sz w:val="18"/>
          <w:szCs w:val="18"/>
        </w:rPr>
        <w:t>Dewitt County </w:t>
      </w:r>
    </w:p>
    <w:p w:rsidR="00043600" w:rsidRPr="00043600" w:rsidRDefault="00043600" w:rsidP="00043600">
      <w:pPr>
        <w:rPr>
          <w:rFonts w:eastAsia="Times New Roman" w:cs="Arial"/>
          <w:color w:val="262626"/>
          <w:sz w:val="18"/>
          <w:szCs w:val="18"/>
        </w:rPr>
      </w:pPr>
      <w:r w:rsidRPr="00043600">
        <w:rPr>
          <w:rFonts w:eastAsia="Times New Roman" w:cs="Arial"/>
          <w:color w:val="262626"/>
          <w:sz w:val="18"/>
          <w:szCs w:val="18"/>
        </w:rPr>
        <w:t>Gonzales County </w:t>
      </w:r>
    </w:p>
    <w:p w:rsidR="00043600" w:rsidRPr="00043600" w:rsidRDefault="00043600" w:rsidP="00043600">
      <w:pPr>
        <w:rPr>
          <w:rFonts w:eastAsia="Times New Roman" w:cs="Arial"/>
          <w:color w:val="262626"/>
          <w:sz w:val="18"/>
          <w:szCs w:val="18"/>
        </w:rPr>
      </w:pPr>
      <w:r w:rsidRPr="00043600">
        <w:rPr>
          <w:rFonts w:eastAsia="Times New Roman" w:cs="Arial"/>
          <w:color w:val="262626"/>
          <w:sz w:val="18"/>
          <w:szCs w:val="18"/>
        </w:rPr>
        <w:t>Karnes County </w:t>
      </w:r>
    </w:p>
    <w:p w:rsidR="00043600" w:rsidRPr="00043600" w:rsidRDefault="00043600" w:rsidP="00043600">
      <w:pPr>
        <w:rPr>
          <w:rFonts w:eastAsia="Times New Roman" w:cs="Arial"/>
          <w:color w:val="262626"/>
          <w:sz w:val="18"/>
          <w:szCs w:val="18"/>
        </w:rPr>
      </w:pPr>
      <w:r w:rsidRPr="00043600">
        <w:rPr>
          <w:rFonts w:eastAsia="Times New Roman" w:cs="Arial"/>
          <w:color w:val="262626"/>
          <w:sz w:val="18"/>
          <w:szCs w:val="18"/>
        </w:rPr>
        <w:t>Live Oak County </w:t>
      </w:r>
    </w:p>
    <w:p w:rsidR="00043600" w:rsidRPr="00043600" w:rsidRDefault="00043600" w:rsidP="00043600">
      <w:pPr>
        <w:rPr>
          <w:rFonts w:eastAsia="Times New Roman" w:cs="Arial"/>
          <w:color w:val="262626"/>
          <w:sz w:val="18"/>
          <w:szCs w:val="18"/>
        </w:rPr>
      </w:pPr>
      <w:r w:rsidRPr="00043600">
        <w:rPr>
          <w:rFonts w:eastAsia="Times New Roman" w:cs="Arial"/>
          <w:color w:val="262626"/>
          <w:sz w:val="18"/>
          <w:szCs w:val="18"/>
        </w:rPr>
        <w:t>McMullen County </w:t>
      </w:r>
    </w:p>
    <w:p w:rsidR="00043600" w:rsidRPr="00043600" w:rsidRDefault="00043600" w:rsidP="00043600">
      <w:pPr>
        <w:rPr>
          <w:rFonts w:eastAsia="Times New Roman" w:cs="Arial"/>
          <w:color w:val="262626"/>
          <w:sz w:val="18"/>
          <w:szCs w:val="18"/>
        </w:rPr>
      </w:pPr>
      <w:r w:rsidRPr="00043600">
        <w:rPr>
          <w:rFonts w:eastAsia="Times New Roman" w:cs="Arial"/>
          <w:color w:val="262626"/>
          <w:sz w:val="18"/>
          <w:szCs w:val="18"/>
        </w:rPr>
        <w:t>AMOTIA</w:t>
      </w:r>
    </w:p>
    <w:p w:rsidR="00043600" w:rsidRPr="00043600" w:rsidRDefault="00043600" w:rsidP="00043600">
      <w:pPr>
        <w:rPr>
          <w:rFonts w:eastAsia="Times New Roman" w:cs="Arial"/>
          <w:color w:val="262626"/>
          <w:sz w:val="18"/>
          <w:szCs w:val="18"/>
        </w:rPr>
      </w:pPr>
    </w:p>
    <w:p w:rsidR="00043600" w:rsidRPr="00043600" w:rsidRDefault="00043600"/>
    <w:sectPr w:rsidR="00043600" w:rsidRPr="00043600" w:rsidSect="00CD342B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/>
  <w:rsids>
    <w:rsidRoot w:val="001368E3"/>
    <w:rsid w:val="00023227"/>
    <w:rsid w:val="000250DC"/>
    <w:rsid w:val="00026384"/>
    <w:rsid w:val="00042BF3"/>
    <w:rsid w:val="00043600"/>
    <w:rsid w:val="00043FCC"/>
    <w:rsid w:val="0005673E"/>
    <w:rsid w:val="0007113E"/>
    <w:rsid w:val="00095CC4"/>
    <w:rsid w:val="000B683C"/>
    <w:rsid w:val="000C2581"/>
    <w:rsid w:val="000D7048"/>
    <w:rsid w:val="000E6014"/>
    <w:rsid w:val="000F6C9A"/>
    <w:rsid w:val="0011221A"/>
    <w:rsid w:val="001368E3"/>
    <w:rsid w:val="00163815"/>
    <w:rsid w:val="00167577"/>
    <w:rsid w:val="00174E3E"/>
    <w:rsid w:val="00190B67"/>
    <w:rsid w:val="00194707"/>
    <w:rsid w:val="001A0921"/>
    <w:rsid w:val="001D4BF4"/>
    <w:rsid w:val="001E1E8A"/>
    <w:rsid w:val="001E6751"/>
    <w:rsid w:val="001F060D"/>
    <w:rsid w:val="00207639"/>
    <w:rsid w:val="00214733"/>
    <w:rsid w:val="00217C64"/>
    <w:rsid w:val="00237E66"/>
    <w:rsid w:val="002437E1"/>
    <w:rsid w:val="002558DD"/>
    <w:rsid w:val="00257097"/>
    <w:rsid w:val="00270DA7"/>
    <w:rsid w:val="002A46B3"/>
    <w:rsid w:val="002B13CC"/>
    <w:rsid w:val="002B24EF"/>
    <w:rsid w:val="002B3D50"/>
    <w:rsid w:val="002C1E13"/>
    <w:rsid w:val="002C471D"/>
    <w:rsid w:val="002E083C"/>
    <w:rsid w:val="002F4049"/>
    <w:rsid w:val="002F65C2"/>
    <w:rsid w:val="003100CB"/>
    <w:rsid w:val="003171AF"/>
    <w:rsid w:val="00331407"/>
    <w:rsid w:val="00333206"/>
    <w:rsid w:val="00345E91"/>
    <w:rsid w:val="003538CE"/>
    <w:rsid w:val="0035410D"/>
    <w:rsid w:val="00355BDE"/>
    <w:rsid w:val="003635B6"/>
    <w:rsid w:val="00390AF2"/>
    <w:rsid w:val="00391291"/>
    <w:rsid w:val="00392AA0"/>
    <w:rsid w:val="003952AD"/>
    <w:rsid w:val="003955A8"/>
    <w:rsid w:val="003A7D36"/>
    <w:rsid w:val="003D1667"/>
    <w:rsid w:val="003D178D"/>
    <w:rsid w:val="003E4489"/>
    <w:rsid w:val="003E4C9B"/>
    <w:rsid w:val="004131E6"/>
    <w:rsid w:val="00430286"/>
    <w:rsid w:val="004405BF"/>
    <w:rsid w:val="00454DC4"/>
    <w:rsid w:val="00472F52"/>
    <w:rsid w:val="004737EA"/>
    <w:rsid w:val="0047723A"/>
    <w:rsid w:val="00491705"/>
    <w:rsid w:val="004B08A3"/>
    <w:rsid w:val="004B4F3F"/>
    <w:rsid w:val="004B7CE8"/>
    <w:rsid w:val="004D17BE"/>
    <w:rsid w:val="004D272B"/>
    <w:rsid w:val="004E6B12"/>
    <w:rsid w:val="004F5894"/>
    <w:rsid w:val="004F5AEE"/>
    <w:rsid w:val="00516219"/>
    <w:rsid w:val="005304E1"/>
    <w:rsid w:val="005325E1"/>
    <w:rsid w:val="00551EDF"/>
    <w:rsid w:val="00554787"/>
    <w:rsid w:val="00560BA9"/>
    <w:rsid w:val="005621A9"/>
    <w:rsid w:val="00566E35"/>
    <w:rsid w:val="00587297"/>
    <w:rsid w:val="005A0F8C"/>
    <w:rsid w:val="005A3793"/>
    <w:rsid w:val="00600F36"/>
    <w:rsid w:val="00603470"/>
    <w:rsid w:val="006079E5"/>
    <w:rsid w:val="00616998"/>
    <w:rsid w:val="00617FA4"/>
    <w:rsid w:val="0062544A"/>
    <w:rsid w:val="006407A5"/>
    <w:rsid w:val="00646912"/>
    <w:rsid w:val="00653788"/>
    <w:rsid w:val="00654A02"/>
    <w:rsid w:val="006740A2"/>
    <w:rsid w:val="00685B20"/>
    <w:rsid w:val="00690400"/>
    <w:rsid w:val="0069258E"/>
    <w:rsid w:val="006B3992"/>
    <w:rsid w:val="006D19C2"/>
    <w:rsid w:val="006E263B"/>
    <w:rsid w:val="006E6ADD"/>
    <w:rsid w:val="007023E0"/>
    <w:rsid w:val="00703D47"/>
    <w:rsid w:val="0071581D"/>
    <w:rsid w:val="007673F9"/>
    <w:rsid w:val="00774DB5"/>
    <w:rsid w:val="0078628D"/>
    <w:rsid w:val="0079258C"/>
    <w:rsid w:val="007964BA"/>
    <w:rsid w:val="007A250F"/>
    <w:rsid w:val="007B7FB3"/>
    <w:rsid w:val="007C47D5"/>
    <w:rsid w:val="007D6357"/>
    <w:rsid w:val="007F4C1C"/>
    <w:rsid w:val="00804B57"/>
    <w:rsid w:val="008144C3"/>
    <w:rsid w:val="00830978"/>
    <w:rsid w:val="00833593"/>
    <w:rsid w:val="008807DD"/>
    <w:rsid w:val="008861CB"/>
    <w:rsid w:val="00886E88"/>
    <w:rsid w:val="008D3B33"/>
    <w:rsid w:val="008F1295"/>
    <w:rsid w:val="009032DC"/>
    <w:rsid w:val="009039A0"/>
    <w:rsid w:val="0090676A"/>
    <w:rsid w:val="00912261"/>
    <w:rsid w:val="00913C7B"/>
    <w:rsid w:val="00914885"/>
    <w:rsid w:val="009205CE"/>
    <w:rsid w:val="009218ED"/>
    <w:rsid w:val="0092430D"/>
    <w:rsid w:val="00925969"/>
    <w:rsid w:val="0094614B"/>
    <w:rsid w:val="0095429A"/>
    <w:rsid w:val="0096350A"/>
    <w:rsid w:val="0096713F"/>
    <w:rsid w:val="00982B08"/>
    <w:rsid w:val="009904AC"/>
    <w:rsid w:val="009A0348"/>
    <w:rsid w:val="009C3AFF"/>
    <w:rsid w:val="009C76FE"/>
    <w:rsid w:val="009D7416"/>
    <w:rsid w:val="009E03ED"/>
    <w:rsid w:val="009E129F"/>
    <w:rsid w:val="009F1D62"/>
    <w:rsid w:val="009F3A5B"/>
    <w:rsid w:val="00A07A5F"/>
    <w:rsid w:val="00A111C6"/>
    <w:rsid w:val="00A22ECD"/>
    <w:rsid w:val="00A26308"/>
    <w:rsid w:val="00A33799"/>
    <w:rsid w:val="00A4430F"/>
    <w:rsid w:val="00A4468F"/>
    <w:rsid w:val="00A843D2"/>
    <w:rsid w:val="00AA2A3A"/>
    <w:rsid w:val="00AA2ADC"/>
    <w:rsid w:val="00AB3083"/>
    <w:rsid w:val="00AC1E33"/>
    <w:rsid w:val="00AC4C4E"/>
    <w:rsid w:val="00AF4B66"/>
    <w:rsid w:val="00B019E1"/>
    <w:rsid w:val="00B11C30"/>
    <w:rsid w:val="00B408F0"/>
    <w:rsid w:val="00B46EBB"/>
    <w:rsid w:val="00B57C9E"/>
    <w:rsid w:val="00B70243"/>
    <w:rsid w:val="00B76B0B"/>
    <w:rsid w:val="00B902DA"/>
    <w:rsid w:val="00BA361C"/>
    <w:rsid w:val="00BA4926"/>
    <w:rsid w:val="00BB4CB5"/>
    <w:rsid w:val="00BC635E"/>
    <w:rsid w:val="00BC67F6"/>
    <w:rsid w:val="00BC780A"/>
    <w:rsid w:val="00BD18AD"/>
    <w:rsid w:val="00BE75FA"/>
    <w:rsid w:val="00BF31F5"/>
    <w:rsid w:val="00C0146E"/>
    <w:rsid w:val="00C1039A"/>
    <w:rsid w:val="00C10742"/>
    <w:rsid w:val="00C11CF6"/>
    <w:rsid w:val="00C15053"/>
    <w:rsid w:val="00C23946"/>
    <w:rsid w:val="00C334A9"/>
    <w:rsid w:val="00C41023"/>
    <w:rsid w:val="00C4405C"/>
    <w:rsid w:val="00C52374"/>
    <w:rsid w:val="00C547E2"/>
    <w:rsid w:val="00C62CB9"/>
    <w:rsid w:val="00C6793A"/>
    <w:rsid w:val="00C81DAD"/>
    <w:rsid w:val="00C82E1B"/>
    <w:rsid w:val="00CA563D"/>
    <w:rsid w:val="00CB7233"/>
    <w:rsid w:val="00CB7FB9"/>
    <w:rsid w:val="00CC433B"/>
    <w:rsid w:val="00CD342B"/>
    <w:rsid w:val="00D005BF"/>
    <w:rsid w:val="00D107A5"/>
    <w:rsid w:val="00D1132F"/>
    <w:rsid w:val="00D178E0"/>
    <w:rsid w:val="00D22DB5"/>
    <w:rsid w:val="00D31110"/>
    <w:rsid w:val="00D36E14"/>
    <w:rsid w:val="00D439B5"/>
    <w:rsid w:val="00D4424E"/>
    <w:rsid w:val="00D456F9"/>
    <w:rsid w:val="00DB7315"/>
    <w:rsid w:val="00DD66A8"/>
    <w:rsid w:val="00DF45F1"/>
    <w:rsid w:val="00DF6E56"/>
    <w:rsid w:val="00E066C2"/>
    <w:rsid w:val="00E0749D"/>
    <w:rsid w:val="00E12D13"/>
    <w:rsid w:val="00E13E5C"/>
    <w:rsid w:val="00E14582"/>
    <w:rsid w:val="00E22A1F"/>
    <w:rsid w:val="00E2397F"/>
    <w:rsid w:val="00E4787C"/>
    <w:rsid w:val="00E56047"/>
    <w:rsid w:val="00E74364"/>
    <w:rsid w:val="00EB2209"/>
    <w:rsid w:val="00EB231A"/>
    <w:rsid w:val="00EB56FE"/>
    <w:rsid w:val="00EC0509"/>
    <w:rsid w:val="00EC6805"/>
    <w:rsid w:val="00EF56D0"/>
    <w:rsid w:val="00EF65A9"/>
    <w:rsid w:val="00F50586"/>
    <w:rsid w:val="00F576CB"/>
    <w:rsid w:val="00F66056"/>
    <w:rsid w:val="00F666B7"/>
    <w:rsid w:val="00F704FB"/>
    <w:rsid w:val="00F74836"/>
    <w:rsid w:val="00F764E3"/>
    <w:rsid w:val="00F80367"/>
    <w:rsid w:val="00F81C8F"/>
    <w:rsid w:val="00FB0D76"/>
    <w:rsid w:val="00FB3C96"/>
    <w:rsid w:val="00FC0895"/>
    <w:rsid w:val="00FF13B9"/>
  </w:rsids>
  <m:mathPr>
    <m:mathFont m:val="American Typewriter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42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8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1241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apcervantes</dc:creator>
  <cp:keywords/>
  <dc:description/>
  <cp:lastModifiedBy>James Hornung</cp:lastModifiedBy>
  <cp:revision>2</cp:revision>
  <dcterms:created xsi:type="dcterms:W3CDTF">2016-08-24T19:54:00Z</dcterms:created>
  <dcterms:modified xsi:type="dcterms:W3CDTF">2016-08-24T19:54:00Z</dcterms:modified>
</cp:coreProperties>
</file>