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2B4C7E"/>
          <w:sz w:val="36"/>
          <w:szCs w:val="36"/>
        </w:rPr>
        <w:t xml:space="preserve">FINAL TABLE OF CONTENTS</w:t>
      </w:r>
    </w:p>
    <w:p>
      <w:pPr>
        <w:spacing w:after="30"/>
        <w:jc w:val="center"/>
      </w:pPr>
      <w:r>
        <w:rPr>
          <w:rFonts w:ascii="Arial" w:cs="Arial" w:eastAsia="Arial" w:hAnsi="Arial"/>
          <w:color w:val="2B4C7E"/>
          <w:sz w:val="30"/>
          <w:szCs w:val="30"/>
        </w:rPr>
        <w:t xml:space="preserve">Mastering Legal Transcription</w:t>
      </w:r>
    </w:p>
    <w:p>
      <w:pPr>
        <w:spacing w:after="3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The Complete Guide to Punctuation, Formatting &amp; Precision in Court Reporting</w:t>
      </w:r>
    </w:p>
    <w:p>
      <w:pPr>
        <w:spacing w:after="30"/>
        <w:jc w:val="center"/>
      </w:pPr>
      <w:r>
        <w:rPr>
          <w:rFonts w:ascii="Arial" w:cs="Arial" w:eastAsia="Arial" w:hAnsi="Arial"/>
          <w:b/>
          <w:bCs/>
          <w:color w:val="3A9D9B"/>
          <w:sz w:val="20"/>
          <w:szCs w:val="20"/>
        </w:rPr>
        <w:t xml:space="preserve">For Voice Writers &amp; Digital Reporters</w:t>
      </w:r>
    </w:p>
    <w:p>
      <w:pPr>
        <w:spacing w:after="20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Version 4.0 — FINAL LOCKED — February 2026</w:t>
      </w:r>
    </w:p>
    <w:p>
      <w:pPr>
        <w:shd w:fill="E8F4E8" w:val="clear"/>
        <w:spacing w:before="80" w:after="80"/>
      </w:pPr>
      <w:r>
        <w:rPr>
          <w:rFonts w:ascii="Arial" w:cs="Arial" w:eastAsia="Arial" w:hAnsi="Arial"/>
          <w:sz w:val="19"/>
          <w:szCs w:val="19"/>
        </w:rPr>
        <w:t xml:space="preserve">  ★ TWO-PRODUCT STRATEGY: This TOC covers the BOOK only (~49,000 words). Reference tables, glossaries, checklists, and interactive tools live on the Digital Repository website. Book teaches WHY. Website answers WHAT.</w:t>
      </w:r>
    </w:p>
    <w:p>
      <w:pPr>
        <w:shd w:fill="FFF8E1" w:val="clear"/>
        <w:spacing w:before="80" w:after="80"/>
      </w:pPr>
      <w:r>
        <w:rPr>
          <w:rFonts w:ascii="Arial" w:cs="Arial" w:eastAsia="Arial" w:hAnsi="Arial"/>
          <w:sz w:val="19"/>
          <w:szCs w:val="19"/>
        </w:rPr>
        <w:t xml:space="preserve">  ✎ 3-LAYER WRITING: Every section uses (1) The Rule, (2) Why It Matters, (3) Transcript Example. Every section ends with “From the Record” annotated examples.</w:t>
      </w:r>
    </w:p>
    <w:p>
      <w:pPr>
        <w:shd w:fill="E0F7F5" w:val="clear"/>
        <w:spacing w:before="80" w:after="80"/>
      </w:pPr>
      <w:r>
        <w:rPr>
          <w:rFonts w:ascii="Arial" w:cs="Arial" w:eastAsia="Arial" w:hAnsi="Arial"/>
          <w:sz w:val="19"/>
          <w:szCs w:val="19"/>
        </w:rPr>
        <w:t xml:space="preserve">  → website = content on Digital Repository.  [DRAFT 1 ✓] = first draft complete, ready for enhancement pass.</w:t>
      </w:r>
    </w:p>
    <w:p>
      <w:pPr>
        <w:spacing w:before="320" w:after="100"/>
      </w:pPr>
      <w:r>
        <w:rPr>
          <w:rFonts w:ascii="Arial" w:cs="Arial" w:eastAsia="Arial" w:hAnsi="Arial"/>
          <w:b/>
          <w:bCs/>
          <w:color w:val="2B4C7E"/>
          <w:sz w:val="26"/>
          <w:szCs w:val="26"/>
        </w:rPr>
        <w:t xml:space="preserve">FRONT MATTER</w:t>
      </w:r>
    </w:p>
    <w:p>
      <w:pPr>
        <w:spacing w:after="30"/>
        <w:ind w:left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Title Page</w:t>
      </w:r>
    </w:p>
    <w:p>
      <w:pPr>
        <w:spacing w:after="30"/>
        <w:ind w:left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Copyright &amp; Disclaimer</w:t>
      </w:r>
    </w:p>
    <w:p>
      <w:pPr>
        <w:spacing w:after="30"/>
        <w:ind w:left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Dedication</w:t>
      </w:r>
    </w:p>
    <w:p>
      <w:pPr>
        <w:spacing w:after="30"/>
        <w:ind w:left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Foreword</w:t>
      </w:r>
    </w:p>
    <w:p>
      <w:pPr>
        <w:spacing w:after="40"/>
        <w:ind w:left="720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▸ By a working voice writer or digital reporter — not academic</w:t>
      </w:r>
    </w:p>
    <w:p>
      <w:pPr>
        <w:spacing w:after="30"/>
        <w:ind w:left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How to Use This Guide</w:t>
      </w:r>
    </w:p>
    <w:p>
      <w:pPr>
        <w:spacing w:after="40"/>
        <w:ind w:left="720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▸ Quick-start paths: voice writer | digital reporter | scopist/proofreader</w:t>
      </w:r>
    </w:p>
    <w:p>
      <w:pPr>
        <w:spacing w:after="40"/>
        <w:ind w:left="720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▸ Explains book + website: “When you see → website, visit [URL]”</w:t>
      </w:r>
    </w:p>
    <w:p>
      <w:pPr>
        <w:shd w:fill="2B4C7E" w:val="clear"/>
        <w:spacing w:before="400" w:after="100"/>
        <w:jc w:val="center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PART ONE: THE PROFESSION  </w:t>
      </w:r>
    </w:p>
    <w:p>
      <w:pPr>
        <w:spacing w:after="50"/>
        <w:jc w:val="right"/>
      </w:pP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≈ ~8,000 words</w:t>
      </w:r>
    </w:p>
    <w:p>
      <w:pPr>
        <w:spacing w:before="320" w:after="100"/>
      </w:pPr>
      <w:r>
        <w:rPr>
          <w:rFonts w:ascii="Arial" w:cs="Arial" w:eastAsia="Arial" w:hAnsi="Arial"/>
          <w:b/>
          <w:bCs/>
          <w:color w:val="2B4C7E"/>
          <w:sz w:val="26"/>
          <w:szCs w:val="26"/>
        </w:rPr>
        <w:t xml:space="preserve">Section I: Who We Are and Why It Matters</w:t>
      </w:r>
    </w:p>
    <w:p>
      <w:pPr>
        <w:spacing w:after="30"/>
        <w:ind w:left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1.1 Voice Writers and Digital Reporters: Two Paths, One Mission</w:t>
      </w:r>
    </w:p>
    <w:p>
      <w:pPr>
        <w:spacing w:after="30"/>
        <w:ind w:left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How voice writing works: stenomask + speech recognition engine</w:t>
      </w:r>
    </w:p>
    <w:p>
      <w:pPr>
        <w:spacing w:after="30"/>
        <w:ind w:left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How digital reporting works: multi-channel audio + live annotation</w:t>
      </w:r>
    </w:p>
    <w:p>
      <w:pPr>
        <w:spacing w:after="30"/>
        <w:ind w:left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How the methods compare: strengths, limitations, when each shines</w:t>
      </w:r>
    </w:p>
    <w:p>
      <w:pPr>
        <w:spacing w:after="30"/>
        <w:ind w:left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 brief note on stenographic reporters (context, not instruction)</w:t>
      </w:r>
    </w:p>
    <w:p>
      <w:pPr>
        <w:spacing w:after="30"/>
        <w:ind w:left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1.2 Certifications That Define Your Career</w:t>
      </w:r>
    </w:p>
    <w:p>
      <w:pPr>
        <w:spacing w:after="30"/>
        <w:ind w:left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NVRA pathway: CVR → CVR-S → RCP-M (speed/accuracy benchmarks)</w:t>
      </w:r>
    </w:p>
    <w:p>
      <w:pPr>
        <w:spacing w:after="30"/>
        <w:ind w:left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AAERT pathway: CER → CET → CDR (exam blueprints)</w:t>
      </w:r>
    </w:p>
    <w:p>
      <w:pPr>
        <w:spacing w:after="30"/>
        <w:ind w:left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CRR and CRC: certifications relevant to all reporter types</w:t>
      </w:r>
    </w:p>
    <w:p>
      <w:pPr>
        <w:spacing w:after="30"/>
        <w:ind w:left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State licensing: where you need it, how to get it</w:t>
      </w:r>
    </w:p>
    <w:p>
      <w:pPr>
        <w:spacing w:after="30"/>
        <w:ind w:left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Full certification comparison tool</w:t>
      </w:r>
      <w:r>
        <w:rPr>
          <w:rFonts w:ascii="Arial" w:cs="Arial" w:eastAsia="Arial" w:hAnsi="Arial"/>
          <w:b/>
          <w:bCs/>
          <w:color w:val="3A9D9B"/>
          <w:sz w:val="14"/>
          <w:szCs w:val="14"/>
        </w:rPr>
        <w:t xml:space="preserve">  → website</w:t>
      </w:r>
    </w:p>
    <w:p>
      <w:pPr>
        <w:spacing w:after="30"/>
        <w:ind w:left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1.3 The Ethical Mandate: Guardians of the Record</w:t>
      </w:r>
    </w:p>
    <w:p>
      <w:pPr>
        <w:spacing w:after="30"/>
        <w:ind w:left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Neutrality, accuracy, and confidentiality</w:t>
      </w:r>
    </w:p>
    <w:p>
      <w:pPr>
        <w:spacing w:after="30"/>
        <w:ind w:left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The ethical mandate of verbatim: why reporters cannot “clean up” grammar</w:t>
      </w:r>
    </w:p>
    <w:p>
      <w:pPr>
        <w:spacing w:after="30"/>
        <w:ind w:left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The NCRA Code of Professional Ethics (applies to all reporter types)</w:t>
      </w:r>
    </w:p>
    <w:p>
      <w:pPr>
        <w:spacing w:after="30"/>
        <w:ind w:left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Case Study: State v. Ramirez — How a misplaced ellipsis altered jury perception</w:t>
      </w:r>
    </w:p>
    <w:p>
      <w:pPr>
        <w:spacing w:after="30"/>
        <w:ind w:left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1.4 When the Record Goes Wrong: Real Cases, Real Consequences</w:t>
      </w:r>
    </w:p>
    <w:p>
      <w:pPr>
        <w:spacing w:after="30"/>
        <w:ind w:left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The $2.3M Comma: Mercado v. DynaCorp</w:t>
      </w:r>
    </w:p>
    <w:p>
      <w:pPr>
        <w:spacing w:after="30"/>
        <w:ind w:left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Bell Aliant v. Rogers: comma ambiguity in contract language</w:t>
      </w:r>
    </w:p>
    <w:p>
      <w:pPr>
        <w:spacing w:after="30"/>
        <w:ind w:left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Atomic typos, mistrials, and reversed verdicts</w:t>
      </w:r>
    </w:p>
    <w:p>
      <w:pPr>
        <w:spacing w:after="30"/>
        <w:ind w:left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How a single-letter error changed a medical diagnosis on the record</w:t>
      </w:r>
    </w:p>
    <w:p>
      <w:pPr>
        <w:spacing w:before="140" w:after="140"/>
      </w:pPr>
      <w:r>
        <w:rPr>
          <w:rFonts w:ascii="Arial" w:cs="Arial" w:eastAsia="Arial" w:hAnsi="Arial"/>
          <w:color w:val="DDDDDD"/>
          <w:sz w:val="12"/>
          <w:szCs w:val="12"/>
        </w:rPr>
        <w:t xml:space="preserve">───────────────────────────────────────────────────────</w:t>
      </w:r>
    </w:p>
    <w:p>
      <w:pPr>
        <w:shd w:fill="2B4C7E" w:val="clear"/>
        <w:spacing w:before="400" w:after="100"/>
        <w:jc w:val="center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PART TWO: THE CRAFT  </w:t>
      </w:r>
    </w:p>
    <w:p>
      <w:pPr>
        <w:spacing w:after="50"/>
        <w:jc w:val="right"/>
      </w:pP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≈ ~16,000 words</w:t>
      </w:r>
    </w:p>
    <w:p>
      <w:pPr>
        <w:spacing w:before="320" w:after="100"/>
      </w:pPr>
      <w:r>
        <w:rPr>
          <w:rFonts w:ascii="Arial" w:cs="Arial" w:eastAsia="Arial" w:hAnsi="Arial"/>
          <w:b/>
          <w:bCs/>
          <w:color w:val="2B4C7E"/>
          <w:sz w:val="26"/>
          <w:szCs w:val="26"/>
        </w:rPr>
        <w:t xml:space="preserve">Section II: Foundations</w:t>
      </w:r>
    </w:p>
    <w:p>
      <w:pPr>
        <w:spacing w:after="30"/>
        <w:ind w:left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2.1 Legal Documentation Standards</w:t>
      </w:r>
    </w:p>
    <w:p>
      <w:pPr>
        <w:spacing w:after="30"/>
        <w:ind w:left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Federal vs. State: margins, line spacing, pagination</w:t>
      </w:r>
    </w:p>
    <w:p>
      <w:pPr>
        <w:spacing w:after="30"/>
        <w:ind w:left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Transcript types: depositions (FRCP 32), trials, hearings, arbitrations</w:t>
      </w:r>
    </w:p>
    <w:p>
      <w:pPr>
        <w:spacing w:after="30"/>
        <w:ind w:left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2.2 Why Punctuation Dictates Legal Outcomes</w:t>
      </w:r>
    </w:p>
    <w:p>
      <w:pPr>
        <w:spacing w:after="30"/>
        <w:ind w:left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Verbatim vs. interpretive punctuation: FRE 106 requirements</w:t>
      </w:r>
    </w:p>
    <w:p>
      <w:pPr>
        <w:spacing w:after="30"/>
        <w:ind w:left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Myths vs. realities: verbatim does not mean unstructured</w:t>
      </w:r>
    </w:p>
    <w:p>
      <w:pPr>
        <w:spacing w:after="30"/>
        <w:ind w:left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Three pillars: clarity, fidelity, forensic utility</w:t>
      </w:r>
    </w:p>
    <w:p>
      <w:pPr>
        <w:spacing w:before="140" w:after="140"/>
      </w:pPr>
      <w:r>
        <w:rPr>
          <w:rFonts w:ascii="Arial" w:cs="Arial" w:eastAsia="Arial" w:hAnsi="Arial"/>
          <w:color w:val="DDDDDD"/>
          <w:sz w:val="12"/>
          <w:szCs w:val="12"/>
        </w:rPr>
        <w:t xml:space="preserve">───────────────────────────────────────────────────────</w:t>
      </w:r>
    </w:p>
    <w:p>
      <w:pPr>
        <w:spacing w:before="320" w:after="100"/>
      </w:pPr>
      <w:r>
        <w:rPr>
          <w:rFonts w:ascii="Arial" w:cs="Arial" w:eastAsia="Arial" w:hAnsi="Arial"/>
          <w:b/>
          <w:bCs/>
          <w:color w:val="2B4C7E"/>
          <w:sz w:val="26"/>
          <w:szCs w:val="26"/>
        </w:rPr>
        <w:t xml:space="preserve">Section III: Punctuation Mechanics</w:t>
      </w:r>
    </w:p>
    <w:p>
      <w:pPr>
        <w:spacing w:after="40"/>
        <w:ind w:left="720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▸ Core of the book. Establishes voice and quality bar.</w:t>
      </w:r>
    </w:p>
    <w:p>
      <w:pPr>
        <w:spacing w:after="40"/>
        <w:ind w:left="720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▸ STATUS: Draft 1 complete for 3.1–3.8. Ready for Enhancement Pass.</w:t>
      </w:r>
    </w:p>
    <w:p>
      <w:pPr>
        <w:spacing w:after="30"/>
        <w:ind w:left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3.1 Terminal Marks: Defining Legal Boundaries</w:t>
      </w:r>
      <w:r>
        <w:rPr>
          <w:rFonts w:ascii="Arial" w:cs="Arial" w:eastAsia="Arial" w:hAnsi="Arial"/>
          <w:b/>
          <w:bCs/>
          <w:color w:val="4CAF50"/>
          <w:sz w:val="14"/>
          <w:szCs w:val="14"/>
        </w:rPr>
        <w:t xml:space="preserve">  [DRAFT 1 ✓]</w:t>
      </w:r>
    </w:p>
    <w:p>
      <w:pPr>
        <w:spacing w:after="30"/>
        <w:ind w:left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Periods: separating complete thoughts; FRE 801(d)(2) exceptions</w:t>
      </w:r>
    </w:p>
    <w:p>
      <w:pPr>
        <w:spacing w:after="30"/>
        <w:ind w:left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Question marks: direct vs. echo questions vs. declarative challenges</w:t>
      </w:r>
    </w:p>
    <w:p>
      <w:pPr>
        <w:spacing w:after="30"/>
        <w:ind w:left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Exclamation marks: verbatim outbursts; restrictions in judicial commentary</w:t>
      </w:r>
    </w:p>
    <w:p>
      <w:pPr>
        <w:spacing w:after="30"/>
        <w:ind w:left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3.2 Connective Punctuation: Structuring Testimony</w:t>
      </w:r>
      <w:r>
        <w:rPr>
          <w:rFonts w:ascii="Arial" w:cs="Arial" w:eastAsia="Arial" w:hAnsi="Arial"/>
          <w:b/>
          <w:bCs/>
          <w:color w:val="4CAF50"/>
          <w:sz w:val="14"/>
          <w:szCs w:val="14"/>
        </w:rPr>
        <w:t xml:space="preserve">  [DRAFT 1 ✓]</w:t>
      </w:r>
    </w:p>
    <w:p>
      <w:pPr>
        <w:spacing w:after="30"/>
        <w:ind w:left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Commas and the Oxford Comma: O’Connor v. Oakhurst Dairy precedent</w:t>
      </w:r>
    </w:p>
    <w:p>
      <w:pPr>
        <w:spacing w:after="30"/>
        <w:ind w:left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Semicolons: linking related independent clauses in extended testimony</w:t>
      </w:r>
    </w:p>
    <w:p>
      <w:pPr>
        <w:spacing w:after="30"/>
        <w:ind w:left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Colons: introducing exhibits, quotations, and statutory text</w:t>
      </w:r>
    </w:p>
    <w:p>
      <w:pPr>
        <w:spacing w:after="30"/>
        <w:ind w:left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3.3 Dashes: The Court Reporter’s Workhorse</w:t>
      </w:r>
      <w:r>
        <w:rPr>
          <w:rFonts w:ascii="Arial" w:cs="Arial" w:eastAsia="Arial" w:hAnsi="Arial"/>
          <w:b/>
          <w:bCs/>
          <w:color w:val="4CAF50"/>
          <w:sz w:val="14"/>
          <w:szCs w:val="14"/>
        </w:rPr>
        <w:t xml:space="preserve">  [DRAFT 1 ✓]</w:t>
      </w:r>
    </w:p>
    <w:p>
      <w:pPr>
        <w:spacing w:after="30"/>
        <w:ind w:left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Double dash (--) for interrupted speech and sudden thought changes</w:t>
      </w:r>
    </w:p>
    <w:p>
      <w:pPr>
        <w:spacing w:after="30"/>
        <w:ind w:left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Ellipses for trailing speech: when a speaker fades out voluntarily</w:t>
      </w:r>
    </w:p>
    <w:p>
      <w:pPr>
        <w:spacing w:after="30"/>
        <w:ind w:left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The critical distinction: interrupted vs. trailing (side-by-side examples)</w:t>
      </w:r>
    </w:p>
    <w:p>
      <w:pPr>
        <w:spacing w:after="30"/>
        <w:ind w:left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Resumption after interruption: returning to an abandoned thought</w:t>
      </w:r>
    </w:p>
    <w:p>
      <w:pPr>
        <w:spacing w:after="30"/>
        <w:ind w:left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En dashes in legal ranges and citations</w:t>
      </w:r>
    </w:p>
    <w:p>
      <w:pPr>
        <w:spacing w:after="30"/>
        <w:ind w:left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3.4 Hyphens &amp; Compound Modifiers in Legal Language</w:t>
      </w:r>
      <w:r>
        <w:rPr>
          <w:rFonts w:ascii="Arial" w:cs="Arial" w:eastAsia="Arial" w:hAnsi="Arial"/>
          <w:b/>
          <w:bCs/>
          <w:color w:val="4CAF50"/>
          <w:sz w:val="14"/>
          <w:szCs w:val="14"/>
        </w:rPr>
        <w:t xml:space="preserve">  [DRAFT 1 ✓]</w:t>
      </w:r>
    </w:p>
    <w:p>
      <w:pPr>
        <w:spacing w:after="30"/>
        <w:ind w:left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When to hyphenate: “the not-otherwise-specified condition”</w:t>
      </w:r>
    </w:p>
    <w:p>
      <w:pPr>
        <w:spacing w:after="30"/>
        <w:ind w:left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Open vs. closed vs. hyphenated compounds</w:t>
      </w:r>
    </w:p>
    <w:p>
      <w:pPr>
        <w:spacing w:after="30"/>
        <w:ind w:left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“Small bowel obstruction” vs. “small-bowel obstruction”: when it changes meaning</w:t>
      </w:r>
    </w:p>
    <w:p>
      <w:pPr>
        <w:spacing w:after="30"/>
        <w:ind w:left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3.5 Apostrophes in Legal Phrasing</w:t>
      </w:r>
      <w:r>
        <w:rPr>
          <w:rFonts w:ascii="Arial" w:cs="Arial" w:eastAsia="Arial" w:hAnsi="Arial"/>
          <w:b/>
          <w:bCs/>
          <w:color w:val="4CAF50"/>
          <w:sz w:val="14"/>
          <w:szCs w:val="14"/>
        </w:rPr>
        <w:t xml:space="preserve">  [DRAFT 1 ✓]</w:t>
      </w:r>
    </w:p>
    <w:p>
      <w:pPr>
        <w:spacing w:after="30"/>
        <w:ind w:left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Possessives with names ending in “s”: Witness’s vs. Witnesses’</w:t>
      </w:r>
    </w:p>
    <w:p>
      <w:pPr>
        <w:spacing w:after="30"/>
        <w:ind w:left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Pluralized acronyms: DUIs, not DUI’s</w:t>
      </w:r>
    </w:p>
    <w:p>
      <w:pPr>
        <w:spacing w:after="30"/>
        <w:ind w:left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Contractions in verbatim: preserving the speaker’s actual usage</w:t>
      </w:r>
    </w:p>
    <w:p>
      <w:pPr>
        <w:spacing w:after="30"/>
        <w:ind w:left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3.6 Quotation Marks in Testimony</w:t>
      </w:r>
      <w:r>
        <w:rPr>
          <w:rFonts w:ascii="Arial" w:cs="Arial" w:eastAsia="Arial" w:hAnsi="Arial"/>
          <w:b/>
          <w:bCs/>
          <w:color w:val="4CAF50"/>
          <w:sz w:val="14"/>
          <w:szCs w:val="14"/>
        </w:rPr>
        <w:t xml:space="preserve">  [DRAFT 1 ✓]</w:t>
      </w:r>
    </w:p>
    <w:p>
      <w:pPr>
        <w:spacing w:after="30"/>
        <w:ind w:left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Nested quotes: a witness quoting another person</w:t>
      </w:r>
    </w:p>
    <w:p>
      <w:pPr>
        <w:spacing w:after="30"/>
        <w:ind w:left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Final punctuation placement: inside or outside the closing quote</w:t>
      </w:r>
    </w:p>
    <w:p>
      <w:pPr>
        <w:spacing w:after="30"/>
        <w:ind w:left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Quoting documents read aloud during proceedings</w:t>
      </w:r>
    </w:p>
    <w:p>
      <w:pPr>
        <w:spacing w:after="30"/>
        <w:ind w:left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3.7 Specialized Symbols: Forensic Notation</w:t>
      </w:r>
      <w:r>
        <w:rPr>
          <w:rFonts w:ascii="Arial" w:cs="Arial" w:eastAsia="Arial" w:hAnsi="Arial"/>
          <w:b/>
          <w:bCs/>
          <w:color w:val="4CAF50"/>
          <w:sz w:val="14"/>
          <w:szCs w:val="14"/>
        </w:rPr>
        <w:t xml:space="preserve">  [DRAFT 1 ✓]</w:t>
      </w:r>
    </w:p>
    <w:p>
      <w:pPr>
        <w:spacing w:after="30"/>
        <w:ind w:left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Brackets [ ] for reporter annotations and [sic] (AAERT standards)</w:t>
      </w:r>
    </w:p>
    <w:p>
      <w:pPr>
        <w:spacing w:after="30"/>
        <w:ind w:left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Ellipses: spaced for omissions, unspaced for pauses (Bluebook Rule 5.3)</w:t>
      </w:r>
    </w:p>
    <w:p>
      <w:pPr>
        <w:spacing w:after="30"/>
        <w:ind w:left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Slashes (/) for statutory alternatives; restrictions in jury instructions</w:t>
      </w:r>
    </w:p>
    <w:p>
      <w:pPr>
        <w:spacing w:after="30"/>
        <w:ind w:left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3.8 Parenthetical Notations for In-Court Actions</w:t>
      </w:r>
      <w:r>
        <w:rPr>
          <w:rFonts w:ascii="Arial" w:cs="Arial" w:eastAsia="Arial" w:hAnsi="Arial"/>
          <w:b/>
          <w:bCs/>
          <w:color w:val="4CAF50"/>
          <w:sz w:val="14"/>
          <w:szCs w:val="14"/>
        </w:rPr>
        <w:t xml:space="preserve">  [DRAFT 1 ✓]</w:t>
      </w:r>
    </w:p>
    <w:p>
      <w:pPr>
        <w:spacing w:after="30"/>
        <w:ind w:left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Non-verbal: (Witness nodding.), (Witness shaking head negatively.)</w:t>
      </w:r>
    </w:p>
    <w:p>
      <w:pPr>
        <w:spacing w:after="30"/>
        <w:ind w:left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Procedural: (Off the record.), (Brief recess taken.)</w:t>
      </w:r>
    </w:p>
    <w:p>
      <w:pPr>
        <w:spacing w:after="30"/>
        <w:ind w:left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Evidence: (Exhibit No. 1 marked for identification.)</w:t>
      </w:r>
    </w:p>
    <w:p>
      <w:pPr>
        <w:spacing w:after="30"/>
        <w:ind w:left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Audio alert: (Simultaneous conversation.), (Inaudible crosstalk.)</w:t>
      </w:r>
    </w:p>
    <w:p>
      <w:pPr>
        <w:spacing w:after="30"/>
        <w:ind w:left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Clarification: (Reporter interrupted for clarification.)</w:t>
      </w:r>
    </w:p>
    <w:p>
      <w:pPr>
        <w:spacing w:after="30"/>
        <w:ind w:left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Placement rule: parentheticals appear exactly where the action occurred</w:t>
      </w:r>
    </w:p>
    <w:p>
      <w:pPr>
        <w:spacing w:after="30"/>
        <w:ind w:left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3.9 Exercises &amp; Error Identification</w:t>
      </w:r>
    </w:p>
    <w:p>
      <w:pPr>
        <w:spacing w:after="30"/>
        <w:ind w:left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Top 10 punctuation errors in depositions</w:t>
      </w:r>
    </w:p>
    <w:p>
      <w:pPr>
        <w:spacing w:after="30"/>
        <w:ind w:left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“Correct the Transcript” challenges (before/after)</w:t>
      </w:r>
    </w:p>
    <w:p>
      <w:pPr>
        <w:spacing w:after="30"/>
        <w:ind w:left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Interactive exercise tool</w:t>
      </w:r>
      <w:r>
        <w:rPr>
          <w:rFonts w:ascii="Arial" w:cs="Arial" w:eastAsia="Arial" w:hAnsi="Arial"/>
          <w:b/>
          <w:bCs/>
          <w:color w:val="3A9D9B"/>
          <w:sz w:val="14"/>
          <w:szCs w:val="14"/>
        </w:rPr>
        <w:t xml:space="preserve">  → website</w:t>
      </w:r>
    </w:p>
    <w:p>
      <w:pPr>
        <w:spacing w:before="140" w:after="140"/>
      </w:pPr>
      <w:r>
        <w:rPr>
          <w:rFonts w:ascii="Arial" w:cs="Arial" w:eastAsia="Arial" w:hAnsi="Arial"/>
          <w:color w:val="DDDDDD"/>
          <w:sz w:val="12"/>
          <w:szCs w:val="12"/>
        </w:rPr>
        <w:t xml:space="preserve">───────────────────────────────────────────────────────</w:t>
      </w:r>
    </w:p>
    <w:p>
      <w:pPr>
        <w:spacing w:before="320" w:after="100"/>
      </w:pPr>
      <w:r>
        <w:rPr>
          <w:rFonts w:ascii="Arial" w:cs="Arial" w:eastAsia="Arial" w:hAnsi="Arial"/>
          <w:b/>
          <w:bCs/>
          <w:color w:val="2B4C7E"/>
          <w:sz w:val="26"/>
          <w:szCs w:val="26"/>
        </w:rPr>
        <w:t xml:space="preserve">Section IV: Verbatim Reporting Challenges</w:t>
      </w:r>
    </w:p>
    <w:p>
      <w:pPr>
        <w:spacing w:after="40"/>
        <w:ind w:left="720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▸ High differentiator. No other book covers this for voice/digital reporters.</w:t>
      </w:r>
    </w:p>
    <w:p>
      <w:pPr>
        <w:spacing w:after="40"/>
        <w:ind w:left="720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▸ STATUS: Draft 1 complete for 4.1–4.4. Ready for Enhancement Pass.</w:t>
      </w:r>
    </w:p>
    <w:p>
      <w:pPr>
        <w:spacing w:after="30"/>
        <w:ind w:left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4.1 Punctuating Interrupted and Incomplete Speech</w:t>
      </w:r>
      <w:r>
        <w:rPr>
          <w:rFonts w:ascii="Arial" w:cs="Arial" w:eastAsia="Arial" w:hAnsi="Arial"/>
          <w:b/>
          <w:bCs/>
          <w:color w:val="4CAF50"/>
          <w:sz w:val="14"/>
          <w:szCs w:val="14"/>
        </w:rPr>
        <w:t xml:space="preserve">  [DRAFT 1 ✓]</w:t>
      </w:r>
    </w:p>
    <w:p>
      <w:pPr>
        <w:spacing w:after="30"/>
        <w:ind w:left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False starts and stutters: “I— I— we went to the store”</w:t>
      </w:r>
    </w:p>
    <w:p>
      <w:pPr>
        <w:spacing w:after="30"/>
        <w:ind w:left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Self-corrections mid-sentence: preserving the speaker’s actual words</w:t>
      </w:r>
    </w:p>
    <w:p>
      <w:pPr>
        <w:spacing w:after="30"/>
        <w:ind w:left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Trailing thoughts vs. interrupted speakers: choosing the right notation</w:t>
      </w:r>
    </w:p>
    <w:p>
      <w:pPr>
        <w:spacing w:after="40"/>
        <w:ind w:left="720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▸ From the Record: Expert witness cut off during malpractice deposition</w:t>
      </w:r>
    </w:p>
    <w:p>
      <w:pPr>
        <w:spacing w:after="30"/>
        <w:ind w:left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4.2 Filler Words, Hesitations, and Non-Lexical Utterances</w:t>
      </w:r>
      <w:r>
        <w:rPr>
          <w:rFonts w:ascii="Arial" w:cs="Arial" w:eastAsia="Arial" w:hAnsi="Arial"/>
          <w:b/>
          <w:bCs/>
          <w:color w:val="4CAF50"/>
          <w:sz w:val="14"/>
          <w:szCs w:val="14"/>
        </w:rPr>
        <w:t xml:space="preserve">  [DRAFT 1 ✓]</w:t>
      </w:r>
    </w:p>
    <w:p>
      <w:pPr>
        <w:spacing w:after="30"/>
        <w:ind w:left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Full Verbatim vs. Clean Verbatim: judicial vs. broadcast standards</w:t>
      </w:r>
    </w:p>
    <w:p>
      <w:pPr>
        <w:spacing w:after="30"/>
        <w:ind w:left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Standards for “um,” “uh,” “you know”: when to include, when to omit</w:t>
      </w:r>
    </w:p>
    <w:p>
      <w:pPr>
        <w:spacing w:after="30"/>
        <w:ind w:left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Jurisdiction-specific verbatim standards</w:t>
      </w:r>
    </w:p>
    <w:p>
      <w:pPr>
        <w:spacing w:after="40"/>
        <w:ind w:left="720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▸ Voice Brief Hack: idorem = “I don’t remember”</w:t>
      </w:r>
    </w:p>
    <w:p>
      <w:pPr>
        <w:spacing w:after="30"/>
        <w:ind w:left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4.3 Inaudible, Unintelligible, and Overlapping Speech</w:t>
      </w:r>
      <w:r>
        <w:rPr>
          <w:rFonts w:ascii="Arial" w:cs="Arial" w:eastAsia="Arial" w:hAnsi="Arial"/>
          <w:b/>
          <w:bCs/>
          <w:color w:val="4CAF50"/>
          <w:sz w:val="14"/>
          <w:szCs w:val="14"/>
        </w:rPr>
        <w:t xml:space="preserve">  [DRAFT 1 ✓]</w:t>
      </w:r>
    </w:p>
    <w:p>
      <w:pPr>
        <w:spacing w:after="30"/>
        <w:ind w:left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(Inaudible) vs. (Unintelligible): when to use each</w:t>
      </w:r>
    </w:p>
    <w:p>
      <w:pPr>
        <w:spacing w:after="30"/>
        <w:ind w:left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Handling crosstalk: protocols for stopping proceedings</w:t>
      </w:r>
    </w:p>
    <w:p>
      <w:pPr>
        <w:spacing w:after="30"/>
        <w:ind w:left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Confidence monitoring for digital reporters: headset verification</w:t>
      </w:r>
    </w:p>
    <w:p>
      <w:pPr>
        <w:spacing w:after="40"/>
        <w:ind w:left="720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▸ Situation / Notation / Protocol table complete</w:t>
      </w:r>
    </w:p>
    <w:p>
      <w:pPr>
        <w:spacing w:after="30"/>
        <w:ind w:left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4.4 The Ethics of Documenting Imperfect Speech</w:t>
      </w:r>
      <w:r>
        <w:rPr>
          <w:rFonts w:ascii="Arial" w:cs="Arial" w:eastAsia="Arial" w:hAnsi="Arial"/>
          <w:b/>
          <w:bCs/>
          <w:color w:val="4CAF50"/>
          <w:sz w:val="14"/>
          <w:szCs w:val="14"/>
        </w:rPr>
        <w:t xml:space="preserve">  [DRAFT 1 ✓]</w:t>
      </w:r>
    </w:p>
    <w:p>
      <w:pPr>
        <w:spacing w:after="30"/>
        <w:ind w:left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Why a reporter cannot “fix” bad grammar, slang, or profanity</w:t>
      </w:r>
    </w:p>
    <w:p>
      <w:pPr>
        <w:spacing w:after="30"/>
        <w:ind w:left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Handling offensive language: racial slurs, profanity, threats in testimony</w:t>
      </w:r>
    </w:p>
    <w:p>
      <w:pPr>
        <w:spacing w:after="30"/>
        <w:ind w:left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Dialect and non-standard English: documentation without editorializing</w:t>
      </w:r>
    </w:p>
    <w:p>
      <w:pPr>
        <w:spacing w:after="40"/>
        <w:ind w:left="720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▸ From the Record: “I ain’t seen nothing” “fix” nearly cost defendant their case</w:t>
      </w:r>
    </w:p>
    <w:p>
      <w:pPr>
        <w:spacing w:before="140" w:after="140"/>
      </w:pPr>
      <w:r>
        <w:rPr>
          <w:rFonts w:ascii="Arial" w:cs="Arial" w:eastAsia="Arial" w:hAnsi="Arial"/>
          <w:color w:val="DDDDDD"/>
          <w:sz w:val="12"/>
          <w:szCs w:val="12"/>
        </w:rPr>
        <w:t xml:space="preserve">───────────────────────────────────────────────────────</w:t>
      </w:r>
    </w:p>
    <w:p>
      <w:pPr>
        <w:spacing w:before="320" w:after="100"/>
      </w:pPr>
      <w:r>
        <w:rPr>
          <w:rFonts w:ascii="Arial" w:cs="Arial" w:eastAsia="Arial" w:hAnsi="Arial"/>
          <w:b/>
          <w:bCs/>
          <w:color w:val="2B4C7E"/>
          <w:sz w:val="26"/>
          <w:szCs w:val="26"/>
        </w:rPr>
        <w:t xml:space="preserve">Section V: Legal Grammar &amp; Usage</w:t>
      </w:r>
    </w:p>
    <w:p>
      <w:pPr>
        <w:spacing w:after="40"/>
        <w:ind w:left="720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▸ Teaches concepts and principles. Full glossaries live on the website.</w:t>
      </w:r>
    </w:p>
    <w:p>
      <w:pPr>
        <w:spacing w:after="30"/>
        <w:ind w:left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5.1 Capitalization Rules for Legal Entities and Proper Nouns</w:t>
      </w:r>
    </w:p>
    <w:p>
      <w:pPr>
        <w:spacing w:after="30"/>
        <w:ind w:left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The “the” rule: “the Court,” “the Witness,” “the Plaintiff”</w:t>
      </w:r>
    </w:p>
    <w:p>
      <w:pPr>
        <w:spacing w:after="30"/>
        <w:ind w:left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Titles, honorifics, and party designations</w:t>
      </w:r>
    </w:p>
    <w:p>
      <w:pPr>
        <w:spacing w:after="30"/>
        <w:ind w:left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Government bodies, statutes, and legal documents</w:t>
      </w:r>
    </w:p>
    <w:p>
      <w:pPr>
        <w:spacing w:after="30"/>
        <w:ind w:left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5.2 Numbers, Dates, and Monetary Amounts</w:t>
      </w:r>
    </w:p>
    <w:p>
      <w:pPr>
        <w:spacing w:after="30"/>
        <w:ind w:left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Spelling out (one through ten) vs. numerals (11+)</w:t>
      </w:r>
    </w:p>
    <w:p>
      <w:pPr>
        <w:spacing w:after="30"/>
        <w:ind w:left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Formatting dates, times, SSNs, and case numbers</w:t>
      </w:r>
    </w:p>
    <w:p>
      <w:pPr>
        <w:spacing w:after="30"/>
        <w:ind w:left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Monetary amounts: “Two hundred thousand dollars ($200,000)”</w:t>
      </w:r>
    </w:p>
    <w:p>
      <w:pPr>
        <w:spacing w:after="30"/>
        <w:ind w:left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5.3 Commonly Misused Legal Homophones</w:t>
      </w:r>
    </w:p>
    <w:p>
      <w:pPr>
        <w:spacing w:after="30"/>
        <w:ind w:left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Affect/effect, counsel/council, ensure/insure, liable/libel, moot/mute</w:t>
      </w:r>
    </w:p>
    <w:p>
      <w:pPr>
        <w:spacing w:after="30"/>
        <w:ind w:left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Atomic typos: “county” vs. “country,” “fecal sac” vs. “thecal sac”</w:t>
      </w:r>
    </w:p>
    <w:p>
      <w:pPr>
        <w:spacing w:after="30"/>
        <w:ind w:left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Context-based verification techniques</w:t>
      </w:r>
    </w:p>
    <w:p>
      <w:pPr>
        <w:spacing w:after="30"/>
        <w:ind w:left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Searchable Homophones &amp; Atomic Typo database</w:t>
      </w:r>
      <w:r>
        <w:rPr>
          <w:rFonts w:ascii="Arial" w:cs="Arial" w:eastAsia="Arial" w:hAnsi="Arial"/>
          <w:b/>
          <w:bCs/>
          <w:color w:val="3A9D9B"/>
          <w:sz w:val="14"/>
          <w:szCs w:val="14"/>
        </w:rPr>
        <w:t xml:space="preserve">  → website</w:t>
      </w:r>
    </w:p>
    <w:p>
      <w:pPr>
        <w:spacing w:after="30"/>
        <w:ind w:left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5.4 Medical &amp; Legal Terminology in Transcription</w:t>
      </w:r>
    </w:p>
    <w:p>
      <w:pPr>
        <w:spacing w:after="30"/>
        <w:ind w:left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Expert witness testimony with complex terms</w:t>
      </w:r>
    </w:p>
    <w:p>
      <w:pPr>
        <w:spacing w:after="30"/>
        <w:ind w:left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Common misheard: “infarction” vs. “infection,” “ileum” vs. “ilium”</w:t>
      </w:r>
    </w:p>
    <w:p>
      <w:pPr>
        <w:spacing w:after="30"/>
        <w:ind w:left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Verification strategies for unfamiliar terminology</w:t>
      </w:r>
    </w:p>
    <w:p>
      <w:pPr>
        <w:spacing w:after="30"/>
        <w:ind w:left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Full Medical &amp; Legal Terminology glossary</w:t>
      </w:r>
      <w:r>
        <w:rPr>
          <w:rFonts w:ascii="Arial" w:cs="Arial" w:eastAsia="Arial" w:hAnsi="Arial"/>
          <w:b/>
          <w:bCs/>
          <w:color w:val="3A9D9B"/>
          <w:sz w:val="14"/>
          <w:szCs w:val="14"/>
        </w:rPr>
        <w:t xml:space="preserve">  → website</w:t>
      </w:r>
    </w:p>
    <w:p>
      <w:pPr>
        <w:spacing w:after="30"/>
        <w:ind w:left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5.5 Latin Terms and Commonly Mispronounced Legal Phrases</w:t>
      </w:r>
    </w:p>
    <w:p>
      <w:pPr>
        <w:spacing w:after="30"/>
        <w:ind w:left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Why Latin terms are a minefield for speech recognition</w:t>
      </w:r>
    </w:p>
    <w:p>
      <w:pPr>
        <w:spacing w:after="30"/>
        <w:ind w:left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Preventing phonetic errors: “vore dear” for voir dire</w:t>
      </w:r>
    </w:p>
    <w:p>
      <w:pPr>
        <w:spacing w:after="30"/>
        <w:ind w:left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50+ Latin Terms with pronunciation guide and audio</w:t>
      </w:r>
      <w:r>
        <w:rPr>
          <w:rFonts w:ascii="Arial" w:cs="Arial" w:eastAsia="Arial" w:hAnsi="Arial"/>
          <w:b/>
          <w:bCs/>
          <w:color w:val="3A9D9B"/>
          <w:sz w:val="14"/>
          <w:szCs w:val="14"/>
        </w:rPr>
        <w:t xml:space="preserve">  → website</w:t>
      </w:r>
    </w:p>
    <w:p>
      <w:pPr>
        <w:shd w:fill="2B4C7E" w:val="clear"/>
        <w:spacing w:before="400" w:after="100"/>
        <w:jc w:val="center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PART THREE: TRANSCRIPT PRODUCTION  </w:t>
      </w:r>
    </w:p>
    <w:p>
      <w:pPr>
        <w:spacing w:after="50"/>
        <w:jc w:val="right"/>
      </w:pP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≈ ~10,000 words</w:t>
      </w:r>
    </w:p>
    <w:p>
      <w:pPr>
        <w:spacing w:before="320" w:after="100"/>
      </w:pPr>
      <w:r>
        <w:rPr>
          <w:rFonts w:ascii="Arial" w:cs="Arial" w:eastAsia="Arial" w:hAnsi="Arial"/>
          <w:b/>
          <w:bCs/>
          <w:color w:val="2B4C7E"/>
          <w:sz w:val="26"/>
          <w:szCs w:val="26"/>
        </w:rPr>
        <w:t xml:space="preserve">Section VI: Transcript Architecture &amp; Formatting</w:t>
      </w:r>
    </w:p>
    <w:p>
      <w:pPr>
        <w:spacing w:after="30"/>
        <w:ind w:left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6.1 Speaker Identification &amp; Multi-Speaker Dialogue</w:t>
      </w:r>
    </w:p>
    <w:p>
      <w:pPr>
        <w:spacing w:after="30"/>
        <w:ind w:left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Q&amp;A formatting: FRCP 30(c) indentation rules</w:t>
      </w:r>
    </w:p>
    <w:p>
      <w:pPr>
        <w:spacing w:after="30"/>
        <w:ind w:left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Multi-party dialogue and trial colloquy formatting</w:t>
      </w:r>
    </w:p>
    <w:p>
      <w:pPr>
        <w:spacing w:after="30"/>
        <w:ind w:left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Handling interruptions and overlapping speech tags</w:t>
      </w:r>
    </w:p>
    <w:p>
      <w:pPr>
        <w:spacing w:after="30"/>
        <w:ind w:left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6.2 Exhibits, Legal Citations, and Annotations</w:t>
      </w:r>
    </w:p>
    <w:p>
      <w:pPr>
        <w:spacing w:after="30"/>
        <w:ind w:left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Physical exhibits: marking, receiving, formatting</w:t>
      </w:r>
    </w:p>
    <w:p>
      <w:pPr>
        <w:spacing w:after="30"/>
        <w:ind w:left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Digital evidence and cloud exhibits (NIST FIPS 140-3)</w:t>
      </w:r>
    </w:p>
    <w:p>
      <w:pPr>
        <w:spacing w:after="30"/>
        <w:ind w:left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Bluebook shortcuts: case citations and statutory references</w:t>
      </w:r>
    </w:p>
    <w:p>
      <w:pPr>
        <w:spacing w:after="30"/>
        <w:ind w:left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6.3 Special Scenarios in Transcription</w:t>
      </w:r>
    </w:p>
    <w:p>
      <w:pPr>
        <w:spacing w:after="30"/>
        <w:ind w:left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Foreign language testimony and interpreted statements (ASTM F2575-14)</w:t>
      </w:r>
    </w:p>
    <w:p>
      <w:pPr>
        <w:spacing w:after="30"/>
        <w:ind w:left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Documenting non-verbal cues and reporter annotations</w:t>
      </w:r>
    </w:p>
    <w:p>
      <w:pPr>
        <w:spacing w:after="30"/>
        <w:ind w:left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Forensic punctuation analysis: Bell Aliant v. Rogers case study</w:t>
      </w:r>
    </w:p>
    <w:p>
      <w:pPr>
        <w:spacing w:after="30"/>
        <w:ind w:left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6.4 Page Architecture and Digital Formatting</w:t>
      </w:r>
    </w:p>
    <w:p>
      <w:pPr>
        <w:spacing w:after="30"/>
        <w:ind w:left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Line numbering, margins, and spacing standards</w:t>
      </w:r>
    </w:p>
    <w:p>
      <w:pPr>
        <w:spacing w:after="30"/>
        <w:ind w:left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Header and footer requirements by jurisdiction</w:t>
      </w:r>
    </w:p>
    <w:p>
      <w:pPr>
        <w:spacing w:after="30"/>
        <w:ind w:left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6.5 Jurisdictional Awareness: Why Rules Vary</w:t>
      </w:r>
    </w:p>
    <w:p>
      <w:pPr>
        <w:spacing w:after="40"/>
        <w:ind w:left="720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▸ Book teaches CONCEPT with CA, TX, Federal. Full matrix on website.</w:t>
      </w:r>
    </w:p>
    <w:p>
      <w:pPr>
        <w:spacing w:after="30"/>
        <w:ind w:left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California MTFS as a case study in strict formatting</w:t>
      </w:r>
    </w:p>
    <w:p>
      <w:pPr>
        <w:spacing w:after="30"/>
        <w:ind w:left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Texas TAMES portal and electronic filing</w:t>
      </w:r>
    </w:p>
    <w:p>
      <w:pPr>
        <w:spacing w:after="30"/>
        <w:ind w:left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Federal court standards: block numbering, master index</w:t>
      </w:r>
    </w:p>
    <w:p>
      <w:pPr>
        <w:spacing w:after="30"/>
        <w:ind w:left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How to research your jurisdiction’s specific requirements</w:t>
      </w:r>
    </w:p>
    <w:p>
      <w:pPr>
        <w:spacing w:after="30"/>
        <w:ind w:left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Interactive State Formatting Rules matrix (6+ jurisdictions)</w:t>
      </w:r>
      <w:r>
        <w:rPr>
          <w:rFonts w:ascii="Arial" w:cs="Arial" w:eastAsia="Arial" w:hAnsi="Arial"/>
          <w:b/>
          <w:bCs/>
          <w:color w:val="3A9D9B"/>
          <w:sz w:val="14"/>
          <w:szCs w:val="14"/>
        </w:rPr>
        <w:t xml:space="preserve">  → website</w:t>
      </w:r>
    </w:p>
    <w:p>
      <w:pPr>
        <w:spacing w:before="140" w:after="140"/>
      </w:pPr>
      <w:r>
        <w:rPr>
          <w:rFonts w:ascii="Arial" w:cs="Arial" w:eastAsia="Arial" w:hAnsi="Arial"/>
          <w:color w:val="DDDDDD"/>
          <w:sz w:val="12"/>
          <w:szCs w:val="12"/>
        </w:rPr>
        <w:t xml:space="preserve">───────────────────────────────────────────────────────</w:t>
      </w:r>
    </w:p>
    <w:p>
      <w:pPr>
        <w:spacing w:before="320" w:after="100"/>
      </w:pPr>
      <w:r>
        <w:rPr>
          <w:rFonts w:ascii="Arial" w:cs="Arial" w:eastAsia="Arial" w:hAnsi="Arial"/>
          <w:b/>
          <w:bCs/>
          <w:color w:val="2B4C7E"/>
          <w:sz w:val="26"/>
          <w:szCs w:val="26"/>
        </w:rPr>
        <w:t xml:space="preserve">Section VII: Proofreading &amp; Quality Assurance</w:t>
      </w:r>
    </w:p>
    <w:p>
      <w:pPr>
        <w:spacing w:after="30"/>
        <w:ind w:left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7.1 The Three-Pass Proofreading Method</w:t>
      </w:r>
    </w:p>
    <w:p>
      <w:pPr>
        <w:spacing w:after="30"/>
        <w:ind w:left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Pass 1: grammar and punctuation verification</w:t>
      </w:r>
    </w:p>
    <w:p>
      <w:pPr>
        <w:spacing w:after="30"/>
        <w:ind w:left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Pass 2: formatting consistency and margin alignment</w:t>
      </w:r>
    </w:p>
    <w:p>
      <w:pPr>
        <w:spacing w:after="30"/>
        <w:ind w:left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Pass 3: legal compliance, exhibit numbering, FRE 106 checks</w:t>
      </w:r>
    </w:p>
    <w:p>
      <w:pPr>
        <w:spacing w:after="30"/>
        <w:ind w:left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7.2 Common Error Toolkit</w:t>
      </w:r>
    </w:p>
    <w:p>
      <w:pPr>
        <w:spacing w:after="30"/>
        <w:ind w:left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Homophone traps: “moot vs. mute” in arbitration transcripts</w:t>
      </w:r>
    </w:p>
    <w:p>
      <w:pPr>
        <w:spacing w:after="30"/>
        <w:ind w:left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Timestamp synchronization and audio-visual alignment</w:t>
      </w:r>
    </w:p>
    <w:p>
      <w:pPr>
        <w:spacing w:after="30"/>
        <w:ind w:left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Hidden punctuation errors that change legal meaning</w:t>
      </w:r>
    </w:p>
    <w:p>
      <w:pPr>
        <w:spacing w:after="30"/>
        <w:ind w:left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7.3 Research &amp; Verification Methods</w:t>
      </w:r>
    </w:p>
    <w:p>
      <w:pPr>
        <w:spacing w:after="30"/>
        <w:ind w:left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Proper noun verification: names, places, facilities</w:t>
      </w:r>
    </w:p>
    <w:p>
      <w:pPr>
        <w:spacing w:after="30"/>
        <w:ind w:left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Medical and technical jargon: verifying expert testimony</w:t>
      </w:r>
    </w:p>
    <w:p>
      <w:pPr>
        <w:spacing w:after="30"/>
        <w:ind w:left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Online resources and databases for terminology lookup</w:t>
      </w:r>
    </w:p>
    <w:p>
      <w:pPr>
        <w:spacing w:after="30"/>
        <w:ind w:left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7.4 Ethical Redaction and Attorney Interactions</w:t>
      </w:r>
    </w:p>
    <w:p>
      <w:pPr>
        <w:spacing w:after="30"/>
        <w:ind w:left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Protecting PII: Social Security numbers, medical records</w:t>
      </w:r>
    </w:p>
    <w:p>
      <w:pPr>
        <w:spacing w:after="30"/>
        <w:ind w:left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Working with attorneys: managing revisions and disputes</w:t>
      </w:r>
    </w:p>
    <w:p>
      <w:pPr>
        <w:shd w:fill="2B4C7E" w:val="clear"/>
        <w:spacing w:before="400" w:after="100"/>
        <w:jc w:val="center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PART FOUR: TECHNOLOGY &amp; MODERN PRACTICE  </w:t>
      </w:r>
    </w:p>
    <w:p>
      <w:pPr>
        <w:spacing w:after="50"/>
        <w:jc w:val="right"/>
      </w:pP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≈ ~10,000 words</w:t>
      </w:r>
    </w:p>
    <w:p>
      <w:pPr>
        <w:spacing w:before="320" w:after="100"/>
      </w:pPr>
      <w:r>
        <w:rPr>
          <w:rFonts w:ascii="Arial" w:cs="Arial" w:eastAsia="Arial" w:hAnsi="Arial"/>
          <w:b/>
          <w:bCs/>
          <w:color w:val="2B4C7E"/>
          <w:sz w:val="26"/>
          <w:szCs w:val="26"/>
        </w:rPr>
        <w:t xml:space="preserve">Section VIII: Your Tools</w:t>
      </w:r>
    </w:p>
    <w:p>
      <w:pPr>
        <w:spacing w:after="30"/>
        <w:ind w:left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8.1 CAT Software for Voice Writers</w:t>
      </w:r>
    </w:p>
    <w:p>
      <w:pPr>
        <w:spacing w:after="40"/>
        <w:ind w:left="720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▸ DEEP DIVE: How voice writers use CAT for transcript production. Not steno translation.</w:t>
      </w:r>
    </w:p>
    <w:p>
      <w:pPr>
        <w:spacing w:after="30"/>
        <w:ind w:left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What CAT software does for a voice writer (formatting, not shorthand)</w:t>
      </w:r>
    </w:p>
    <w:p>
      <w:pPr>
        <w:spacing w:after="30"/>
        <w:ind w:left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Eclipse workflows: importing Dragon output, formatting, dictionary management</w:t>
      </w:r>
    </w:p>
    <w:p>
      <w:pPr>
        <w:spacing w:after="30"/>
        <w:ind w:left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CaseCATalyst workflows: job files, auto-formatting, delivery preparation</w:t>
      </w:r>
    </w:p>
    <w:p>
      <w:pPr>
        <w:spacing w:after="30"/>
        <w:ind w:left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Building and maintaining your CAT dictionary as a voice writer</w:t>
      </w:r>
    </w:p>
    <w:p>
      <w:pPr>
        <w:spacing w:after="30"/>
        <w:ind w:left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Producing the final product: certified transcript, delivery formats, e-filing</w:t>
      </w:r>
    </w:p>
    <w:p>
      <w:pPr>
        <w:spacing w:after="30"/>
        <w:ind w:left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Metadata management: timestamps, bookmarks, searchability</w:t>
      </w:r>
    </w:p>
    <w:p>
      <w:pPr>
        <w:spacing w:after="30"/>
        <w:ind w:left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Emerging alternatives: web-based transcript production tools</w:t>
      </w:r>
    </w:p>
    <w:p>
      <w:pPr>
        <w:spacing w:after="40"/>
        <w:ind w:left="720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▸ Honest mention of author’s app in active development — lighter-weight option. No sales pitch.</w:t>
      </w:r>
    </w:p>
    <w:p>
      <w:pPr>
        <w:spacing w:after="30"/>
        <w:ind w:left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8.2 Speech Recognition Mastery</w:t>
      </w:r>
    </w:p>
    <w:p>
      <w:pPr>
        <w:spacing w:after="40"/>
        <w:ind w:left="720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▸ Primary tool chapter for voice writers. Anchor of Part 4.</w:t>
      </w:r>
    </w:p>
    <w:p>
      <w:pPr>
        <w:spacing w:after="30"/>
        <w:ind w:left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Dragon NaturallySpeaking: profile-based customization and vocal training</w:t>
      </w:r>
    </w:p>
    <w:p>
      <w:pPr>
        <w:spacing w:after="30"/>
        <w:ind w:left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AI-driven engines: accuracy vs. security tradeoffs</w:t>
      </w:r>
    </w:p>
    <w:p>
      <w:pPr>
        <w:spacing w:after="30"/>
        <w:ind w:left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The “Software War”: local processing (Dragon) vs. cloud AI (data sovereignty)</w:t>
      </w:r>
    </w:p>
    <w:p>
      <w:pPr>
        <w:spacing w:after="30"/>
        <w:ind w:left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Custom voice commands and boilerplate text insertion</w:t>
      </w:r>
    </w:p>
    <w:p>
      <w:pPr>
        <w:spacing w:after="30"/>
        <w:ind w:left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Voice briefs and oral shorthand: building speed without speaking every syllable</w:t>
      </w:r>
    </w:p>
    <w:p>
      <w:pPr>
        <w:spacing w:after="40"/>
        <w:ind w:left="720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▸ Teaches concept + key examples (ikek, yomo, fartsy, idorem). Full library on website.</w:t>
      </w:r>
    </w:p>
    <w:p>
      <w:pPr>
        <w:spacing w:after="30"/>
        <w:ind w:left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Searchable Voice Brief Library</w:t>
      </w:r>
      <w:r>
        <w:rPr>
          <w:rFonts w:ascii="Arial" w:cs="Arial" w:eastAsia="Arial" w:hAnsi="Arial"/>
          <w:b/>
          <w:bCs/>
          <w:color w:val="3A9D9B"/>
          <w:sz w:val="14"/>
          <w:szCs w:val="14"/>
        </w:rPr>
        <w:t xml:space="preserve">  → website</w:t>
      </w:r>
    </w:p>
    <w:p>
      <w:pPr>
        <w:spacing w:after="30"/>
        <w:ind w:left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8.3 The Hardware Ecosystem</w:t>
      </w:r>
    </w:p>
    <w:p>
      <w:pPr>
        <w:spacing w:after="30"/>
        <w:ind w:left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The stenomask: construction, USB vs. analog, digital interface tuning</w:t>
      </w:r>
    </w:p>
    <w:p>
      <w:pPr>
        <w:spacing w:after="30"/>
        <w:ind w:left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Microphone types and pickup patterns (cardioid, condenser, lavalier, boundary)</w:t>
      </w:r>
    </w:p>
    <w:p>
      <w:pPr>
        <w:spacing w:after="30"/>
        <w:ind w:left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Audio interfaces, mixers, and multi-channel management</w:t>
      </w:r>
    </w:p>
    <w:p>
      <w:pPr>
        <w:spacing w:after="30"/>
        <w:ind w:left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Acoustical management: live vs. dead rooms and echo prevention</w:t>
      </w:r>
    </w:p>
    <w:p>
      <w:pPr>
        <w:spacing w:after="30"/>
        <w:ind w:left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The 3-2-1 backup rule: three copies, two mediums, one off-site</w:t>
      </w:r>
    </w:p>
    <w:p>
      <w:pPr>
        <w:spacing w:after="30"/>
        <w:ind w:left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Confidence monitoring: headset verification of real-time capture</w:t>
      </w:r>
    </w:p>
    <w:p>
      <w:pPr>
        <w:spacing w:after="30"/>
        <w:ind w:left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Disaster recovery flowchart: what to do when a channel goes silent</w:t>
      </w:r>
    </w:p>
    <w:p>
      <w:pPr>
        <w:spacing w:after="30"/>
        <w:ind w:left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Hardware Redundancy &amp; DR Checklist</w:t>
      </w:r>
      <w:r>
        <w:rPr>
          <w:rFonts w:ascii="Arial" w:cs="Arial" w:eastAsia="Arial" w:hAnsi="Arial"/>
          <w:b/>
          <w:bCs/>
          <w:color w:val="3A9D9B"/>
          <w:sz w:val="14"/>
          <w:szCs w:val="14"/>
        </w:rPr>
        <w:t xml:space="preserve">  → website</w:t>
      </w:r>
    </w:p>
    <w:p>
      <w:pPr>
        <w:spacing w:after="30"/>
        <w:ind w:left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8.4 Accessibility &amp; Digital Compliance</w:t>
      </w:r>
    </w:p>
    <w:p>
      <w:pPr>
        <w:spacing w:after="30"/>
        <w:ind w:left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ADA and Section 508 compliance</w:t>
      </w:r>
    </w:p>
    <w:p>
      <w:pPr>
        <w:spacing w:after="30"/>
        <w:ind w:left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PDF optimization: hyperlinked TOC, compression, searchability</w:t>
      </w:r>
    </w:p>
    <w:p>
      <w:pPr>
        <w:spacing w:before="140" w:after="140"/>
      </w:pPr>
      <w:r>
        <w:rPr>
          <w:rFonts w:ascii="Arial" w:cs="Arial" w:eastAsia="Arial" w:hAnsi="Arial"/>
          <w:color w:val="DDDDDD"/>
          <w:sz w:val="12"/>
          <w:szCs w:val="12"/>
        </w:rPr>
        <w:t xml:space="preserve">───────────────────────────────────────────────────────</w:t>
      </w:r>
    </w:p>
    <w:p>
      <w:pPr>
        <w:spacing w:before="320" w:after="100"/>
      </w:pPr>
      <w:r>
        <w:rPr>
          <w:rFonts w:ascii="Arial" w:cs="Arial" w:eastAsia="Arial" w:hAnsi="Arial"/>
          <w:b/>
          <w:bCs/>
          <w:color w:val="2B4C7E"/>
          <w:sz w:val="26"/>
          <w:szCs w:val="26"/>
        </w:rPr>
        <w:t xml:space="preserve">Section IX: The Modern Practice</w:t>
      </w:r>
    </w:p>
    <w:p>
      <w:pPr>
        <w:spacing w:after="30"/>
        <w:ind w:left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9.1 Remote Proceedings &amp; Virtual Courtrooms</w:t>
      </w:r>
    </w:p>
    <w:p>
      <w:pPr>
        <w:spacing w:after="30"/>
        <w:ind w:left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Platform management: security, breakout rooms, identity verification</w:t>
      </w:r>
    </w:p>
    <w:p>
      <w:pPr>
        <w:spacing w:after="30"/>
        <w:ind w:left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Connection monitoring: minimum bandwidth and lag protocols</w:t>
      </w:r>
    </w:p>
    <w:p>
      <w:pPr>
        <w:spacing w:after="30"/>
        <w:ind w:left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Digital exhibit handling: upload, marking, witness annotation</w:t>
      </w:r>
    </w:p>
    <w:p>
      <w:pPr>
        <w:spacing w:after="30"/>
        <w:ind w:left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9.2 Scoping &amp; Real-Time Collaboration</w:t>
      </w:r>
    </w:p>
    <w:p>
      <w:pPr>
        <w:spacing w:after="30"/>
        <w:ind w:left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The scopist’s role: responsibilities and workflow</w:t>
      </w:r>
    </w:p>
    <w:p>
      <w:pPr>
        <w:spacing w:after="30"/>
        <w:ind w:left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Real-time tools: RealTeam, Connection Magic, audio syncing</w:t>
      </w:r>
    </w:p>
    <w:p>
      <w:pPr>
        <w:spacing w:after="30"/>
        <w:ind w:left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Ethical boundaries: what a scopist can edit vs. reporter verification</w:t>
      </w:r>
    </w:p>
    <w:p>
      <w:pPr>
        <w:spacing w:after="30"/>
        <w:ind w:left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9.3 Vocal Health &amp; Ergonomics for Voice Writers</w:t>
      </w:r>
    </w:p>
    <w:p>
      <w:pPr>
        <w:spacing w:after="30"/>
        <w:ind w:left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The voice as your “steno machine”: why vocal health is job security</w:t>
      </w:r>
    </w:p>
    <w:p>
      <w:pPr>
        <w:spacing w:after="30"/>
        <w:ind w:left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Hydration, warm-ups, and daily maintenance</w:t>
      </w:r>
    </w:p>
    <w:p>
      <w:pPr>
        <w:spacing w:after="30"/>
        <w:ind w:left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SOVT exercises: straw phonation, lip trills, the “Doppler Effect” drill</w:t>
      </w:r>
    </w:p>
    <w:p>
      <w:pPr>
        <w:spacing w:after="30"/>
        <w:ind w:left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The 30/10 rule: 30 minutes dictation, 10 minutes silence</w:t>
      </w:r>
    </w:p>
    <w:p>
      <w:pPr>
        <w:spacing w:after="30"/>
        <w:ind w:left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Preventing overuse: vocal naps, posture, ergonomic setup</w:t>
      </w:r>
    </w:p>
    <w:p>
      <w:pPr>
        <w:spacing w:after="30"/>
        <w:ind w:left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9.4 The Future: AI, Data Sovereignty, and the Hybrid Model</w:t>
      </w:r>
    </w:p>
    <w:p>
      <w:pPr>
        <w:spacing w:after="30"/>
        <w:ind w:left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AI hallucinations in transcription: fabricated content risks</w:t>
      </w:r>
    </w:p>
    <w:p>
      <w:pPr>
        <w:spacing w:after="30"/>
        <w:ind w:left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Data sovereignty: HIPAA, CJIS, and cloud processing concerns</w:t>
      </w:r>
    </w:p>
    <w:p>
      <w:pPr>
        <w:spacing w:after="30"/>
        <w:ind w:left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The hybrid model: AI-assisted drafting with human verification</w:t>
      </w:r>
    </w:p>
    <w:p>
      <w:pPr>
        <w:spacing w:after="30"/>
        <w:ind w:left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Why reporters are not being replaced — they’re being elevated</w:t>
      </w:r>
    </w:p>
    <w:p>
      <w:pPr>
        <w:shd w:fill="2B4C7E" w:val="clear"/>
        <w:spacing w:before="400" w:after="100"/>
        <w:jc w:val="center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PART FIVE: THE BUSINESS  </w:t>
      </w:r>
    </w:p>
    <w:p>
      <w:pPr>
        <w:spacing w:after="50"/>
        <w:jc w:val="right"/>
      </w:pP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≈ ~5,000 words</w:t>
      </w:r>
    </w:p>
    <w:p>
      <w:pPr>
        <w:spacing w:before="320" w:after="100"/>
      </w:pPr>
      <w:r>
        <w:rPr>
          <w:rFonts w:ascii="Arial" w:cs="Arial" w:eastAsia="Arial" w:hAnsi="Arial"/>
          <w:b/>
          <w:bCs/>
          <w:color w:val="2B4C7E"/>
          <w:sz w:val="26"/>
          <w:szCs w:val="26"/>
        </w:rPr>
        <w:t xml:space="preserve">Section X: Running Your Practice</w:t>
      </w:r>
    </w:p>
    <w:p>
      <w:pPr>
        <w:spacing w:after="30"/>
        <w:ind w:left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10.1 Operating as a 1099 Independent Contractor</w:t>
      </w:r>
    </w:p>
    <w:p>
      <w:pPr>
        <w:spacing w:after="30"/>
        <w:ind w:left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Tax: Form 1099-NEC, estimated payments, 15.3% self-employment tax</w:t>
      </w:r>
    </w:p>
    <w:p>
      <w:pPr>
        <w:spacing w:after="30"/>
        <w:ind w:left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The “fixed-rate line item” argument: parking, mileage, receipts</w:t>
      </w:r>
    </w:p>
    <w:p>
      <w:pPr>
        <w:spacing w:after="30"/>
        <w:ind w:left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Record retention: electronic files and shorthand notes (5-year minimum)</w:t>
      </w:r>
    </w:p>
    <w:p>
      <w:pPr>
        <w:spacing w:after="30"/>
        <w:ind w:left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Deductions: equipment, software, home office, continuing education</w:t>
      </w:r>
    </w:p>
    <w:p>
      <w:pPr>
        <w:spacing w:after="30"/>
        <w:ind w:left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10.2 Contracts, Billing, and Agency Relationships</w:t>
      </w:r>
    </w:p>
    <w:p>
      <w:pPr>
        <w:spacing w:after="30"/>
        <w:ind w:left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Master freelance agreements: performance clauses, contractor status</w:t>
      </w:r>
    </w:p>
    <w:p>
      <w:pPr>
        <w:spacing w:after="30"/>
        <w:ind w:left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Billing: page rates, appearance fees, expedite charges</w:t>
      </w:r>
    </w:p>
    <w:p>
      <w:pPr>
        <w:spacing w:after="30"/>
        <w:ind w:left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Payment terms: “pay upon submission” vs. agency-delayed</w:t>
      </w:r>
    </w:p>
    <w:p>
      <w:pPr>
        <w:spacing w:after="30"/>
        <w:ind w:left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10.3 Ethics, AI, and Professional Conduct</w:t>
      </w:r>
    </w:p>
    <w:p>
      <w:pPr>
        <w:spacing w:after="30"/>
        <w:ind w:left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NCRA COPE: competence, impartiality, accuracy</w:t>
      </w:r>
    </w:p>
    <w:p>
      <w:pPr>
        <w:spacing w:after="30"/>
        <w:ind w:left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Confidentiality + cloud AI: privilege and processing risks</w:t>
      </w:r>
    </w:p>
    <w:p>
      <w:pPr>
        <w:spacing w:after="30"/>
        <w:ind w:left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When to decline an assignment: ethical self-assessment</w:t>
      </w:r>
    </w:p>
    <w:p>
      <w:pPr>
        <w:spacing w:before="140" w:after="140"/>
      </w:pPr>
      <w:r>
        <w:rPr>
          <w:rFonts w:ascii="Arial" w:cs="Arial" w:eastAsia="Arial" w:hAnsi="Arial"/>
          <w:color w:val="DDDDDD"/>
          <w:sz w:val="12"/>
          <w:szCs w:val="12"/>
        </w:rPr>
        <w:t xml:space="preserve">───────────────────────────────────────────────────────</w:t>
      </w:r>
    </w:p>
    <w:p>
      <w:pPr>
        <w:spacing w:before="320" w:after="100"/>
      </w:pPr>
      <w:r>
        <w:rPr>
          <w:rFonts w:ascii="Arial" w:cs="Arial" w:eastAsia="Arial" w:hAnsi="Arial"/>
          <w:b/>
          <w:bCs/>
          <w:color w:val="2B4C7E"/>
          <w:sz w:val="26"/>
          <w:szCs w:val="26"/>
        </w:rPr>
        <w:t xml:space="preserve">Your Digital Toolkit (Closing Chapter)</w:t>
      </w:r>
    </w:p>
    <w:p>
      <w:pPr>
        <w:spacing w:after="40"/>
        <w:ind w:left="720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▸ Final chapter introduces the Digital Repository website.</w:t>
      </w:r>
    </w:p>
    <w:p>
      <w:pPr>
        <w:spacing w:after="30"/>
        <w:ind w:left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What’s on the website: searchable tools, glossaries, checklists</w:t>
      </w:r>
    </w:p>
    <w:p>
      <w:pPr>
        <w:spacing w:after="30"/>
        <w:ind w:left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How to use the book + website together</w:t>
      </w:r>
    </w:p>
    <w:p>
      <w:pPr>
        <w:spacing w:after="30"/>
        <w:ind w:left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Keeping current: how the website stays updated</w:t>
      </w:r>
    </w:p>
    <w:p>
      <w:pPr>
        <w:spacing w:before="140" w:after="140"/>
      </w:pPr>
      <w:r>
        <w:rPr>
          <w:rFonts w:ascii="Arial" w:cs="Arial" w:eastAsia="Arial" w:hAnsi="Arial"/>
          <w:color w:val="DDDDDD"/>
          <w:sz w:val="12"/>
          <w:szCs w:val="12"/>
        </w:rPr>
        <w:t xml:space="preserve">───────────────────────────────────────────────────────</w:t>
      </w:r>
    </w:p>
    <w:p>
      <w:pPr>
        <w:shd w:fill="3A9D9B" w:val="clear"/>
        <w:spacing w:before="200" w:after="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DIGITAL REPOSITORY: WEBSITE CONTENT MAP</w:t>
      </w:r>
    </w:p>
    <w:p>
      <w:pPr>
        <w:spacing w:after="40"/>
        <w:ind w:left="720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▸ Standalone website tools — NOT in the book.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600"/>
        <w:gridCol w:w="25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9D9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9D9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9D9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Access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Legal Homophones Database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Searchable: type term → definition + usage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Atomic Typo Spotter Quiz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Interactive “Spot the Error” from transcripts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Medical &amp; Legal Terminology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Filterable: PI, workers’ comp, pharma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Latin Terms + Pronunciation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50+ terms with phonetics + audio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State Formatting Matrix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Select state → margins, lines, exhibits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Voice Brief Library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Searchable oral shorthand glossary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Free/Premium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Certification Comparison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NVRA vs AAERT with current links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Punctuation Decision Trees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Dash vs Ellipsis, Comma vs Semicolon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Deposition Readiness Checklist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Generator by reporter type + equipment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Premium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Transcript Submission Checklist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Jurisdiction formatting compliance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Premium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Hardware &amp; Backup Checklist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3-2-1 rule + equipment recs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Punctuation Exercise Tool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Interactive correct-the-transcript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Free</w:t>
            </w:r>
          </w:p>
        </w:tc>
      </w:tr>
    </w:tbl>
    <w:p>
      <w:pPr>
        <w:spacing w:before="140" w:after="140"/>
      </w:pPr>
      <w:r>
        <w:rPr>
          <w:rFonts w:ascii="Arial" w:cs="Arial" w:eastAsia="Arial" w:hAnsi="Arial"/>
          <w:color w:val="DDDDDD"/>
          <w:sz w:val="12"/>
          <w:szCs w:val="12"/>
        </w:rPr>
        <w:t xml:space="preserve">───────────────────────────────────────────────────────</w:t>
      </w:r>
    </w:p>
    <w:p>
      <w:pPr>
        <w:shd w:fill="2B4C7E" w:val="clear"/>
        <w:spacing w:before="200" w:after="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FINAL LOCKED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Book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Website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Structure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5 Parts + Closing Chapter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13 reference pages/tools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Sections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10 Sections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Standalone tools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Target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~49,000 words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Ongoing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Audience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Voice writers + digital reporters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Same + scopists, students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Format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Markdown → EPUB + PDF (Pandoc)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WordPress + Elementor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CAT Software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Deep dive for voice writers (8.1)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Comparison tool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Steno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Brief context mention only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Not covered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Drafts Done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Sec III (3.1–3.8) + Sec IV (4.1–4.4)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Build Order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III → IV → I → V → VIII → rest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After book ~60%</w:t>
            </w:r>
          </w:p>
        </w:tc>
      </w:tr>
    </w:tbl>
    <w:p>
      <w:pPr>
        <w:spacing w:before="2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v4.0 FINAL — February 2026 — STRUCTURE LOCKED — READY TO WRITE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2026-02-06T22:06:23.235Z</dcterms:created>
  <dcterms:modified xsi:type="dcterms:W3CDTF">2026-02-06T22:06:23.236Z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