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STYLE BIBLE</w:t>
      </w:r>
    </w:p>
    <w:p>
      <w:pPr>
        <w:spacing w:after="30"/>
        <w:jc w:val="center"/>
      </w:pPr>
      <w:r>
        <w:rPr>
          <w:rFonts w:ascii="Arial" w:cs="Arial" w:eastAsia="Arial" w:hAnsi="Arial"/>
          <w:color w:val="2B4C7E"/>
          <w:sz w:val="28"/>
          <w:szCs w:val="28"/>
        </w:rPr>
        <w:t xml:space="preserve">Mastering Legal Transcription</w:t>
      </w:r>
    </w:p>
    <w:p>
      <w:pPr>
        <w:spacing w:after="3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3.0 — FINAL — February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Governs every word in the book and every tool on the website.</w:t>
      </w:r>
    </w:p>
    <w:p>
      <w:pPr>
        <w:shd w:fill="FFF8E1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RULE: Reference this Style Bible at the start of every writing session. In Cursor, it lives in .cursorrules. In Claude, paste the relevant section into each prompt.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1. Book Identity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Title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Mastering Legal Transcription: The Complete Guide to Punctuation, Formatting &amp; Precision in Court Reporting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Subtitle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For Voice Writers &amp; Digital Reporters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Target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~49,000 words | 5 Parts + Closing Chapter | 10 Sections | EPUB + Print-on-Demand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Audience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We Serve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Voice writers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Punctuation, speech recognition, CAT formatting, vocal 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Book (core) + website (briefs, tools)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Digital reporters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Audio management, annotation, multi-channel, formatting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Book (core) + website (checklists, state rules)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Scopists / proofreaders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Error ID, formatting compliance, terminology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Book (Sec III, V, VII) + website (glossaries)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Career clarity, certs, foundational skills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Book (start to finish) + website (all tools)</w:t>
            </w:r>
          </w:p>
        </w:tc>
      </w:tr>
    </w:tbl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What This Book Is NOT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Not a steno training manual (brief context mention only)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Not an academic textbook (no footnotes, no passive voice, no unexplained jargon)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Not a rule dump (every rule has consequences and examples)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Not a reference manual (that’s the website’s job)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2. Two-Product Strategy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Book and website are distinct products. They reference each other but never duplicate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BOOK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Teach the craft. Explain WHY.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Answer a question. Show WHAT.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Narrative, case studies, exercises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Searchable databases, checklists, interactive tools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Reading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Read to learn. Chapter by chapter.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Search to find. 10-second answers.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Updates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Evergreen. Revised every 2–3 years.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Living. Updated when rules change.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One-time sale (ebook + print)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 core + premium tools</w:t>
            </w:r>
          </w:p>
        </w:tc>
      </w:tr>
    </w:tbl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Cross-Reference Rules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 the book: </w:t>
      </w:r>
      <w:r>
        <w:rPr>
          <w:rFonts w:ascii="Arial" w:cs="Arial" w:eastAsia="Arial" w:hAnsi="Arial"/>
          <w:sz w:val="21"/>
          <w:szCs w:val="21"/>
        </w:rPr>
        <w:t xml:space="preserve">When a topic has a website tool, include: “For the complete [tool name], visit [URL].” Do NOT reproduce the full reference in the book.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 the website: </w:t>
      </w:r>
      <w:r>
        <w:rPr>
          <w:rFonts w:ascii="Arial" w:cs="Arial" w:eastAsia="Arial" w:hAnsi="Arial"/>
          <w:sz w:val="21"/>
          <w:szCs w:val="21"/>
        </w:rPr>
        <w:t xml:space="preserve">Each tool page includes: “Learn the principles behind this tool in Chapter X of Mastering Legal Transcription.”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3. Voice &amp; Tone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The Voice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Write as a seasoned working reporter mentoring a colleague. Not a professor. Not a tech manual. Think: a colleague with 15 years of experience who has strong opinions backed by real courtroom stories.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Tone Markers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DON’T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Professional with personality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Academic or dry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Authoritative: “This is how it’s done”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Wishy-washy: “Some reporters prefer...”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Warm and encouraging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Condescending or preachy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Practical: “Here’s what happens when you get this wrong”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Theoretical: “The linguistic implications of...”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Opinionated on tech/business decisions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Neutral for the sake of neutrality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Reads like a conversation with a skilled colleague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Reads like a compliance manual</w:t>
            </w:r>
          </w:p>
        </w:tc>
      </w:tr>
    </w:tbl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Point of View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First person in “From the Record” anecdotes (“I once reported a case where...”). Second person (“you”) for instruction. Third person for general rules.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4. The 3-Layer Writing Method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Every subsection uses this structure: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Layer 1: The Rule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State the rule clearly in 1–2 sentences. Bold the key principle. No ambiguity.</w:t>
      </w:r>
    </w:p>
    <w:p>
      <w:pPr>
        <w:shd w:fill="E8F4E8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Example: “Use the double dash (--) to indicate interrupted speech. Use the ellipsis (...) only when a speaker voluntarily trails off.”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Layer 2: Why It Matters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Show consequences. What goes wrong if broken? Real or realistic scenario. Case studies and “From the Record” stories live here.</w:t>
      </w:r>
    </w:p>
    <w:p>
      <w:pPr>
        <w:shd w:fill="FFF8E1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Example: “In a medical malpractice deposition, ‘small bowel obstruction’ is different from ‘small-bowel obstruction.’ The hyphen clarifies the adjective.”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Layer 3: Transcript Example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Show the rule in action. Formatted transcript excerpt. Use code-block-style monospace for transcript mockups.</w:t>
      </w:r>
    </w:p>
    <w:p>
      <w:pPr>
        <w:shd w:fill="E0F7F5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Q.  Did you see the defendant --
A.  I didn’t see anyone!
Q.  -- holding a weapon?
A.  Oh, I... I’m not sure. (Witness trails off.)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Section Endings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Every section ends with “From the Record: Real-World Examples.” </w:t>
      </w:r>
      <w:r>
        <w:rPr>
          <w:rFonts w:ascii="Arial" w:cs="Arial" w:eastAsia="Arial" w:hAnsi="Arial"/>
          <w:sz w:val="21"/>
          <w:szCs w:val="21"/>
        </w:rPr>
        <w:t xml:space="preserve">Annotated transcript excerpts that demonstrate multiple rules from the section applied in a realistic multi-page scenario.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5. Recurring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From the 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REQUIRED: end of every section + opening 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1st-person anecdote or composite. Realistic, instructive.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 Tip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Practical shortcut or insider knowledge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Callout box. 2–4 sentences. Starts with actionable advice.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Common Pitfall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Frequent mistake with consequences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Warning box. Shows the error AND the fix.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Transcript Example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Every subsection (Layer 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Monospace. 25-line page. Q/A indentation.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Voice Brief / Digital Shortcut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When a voice/keyboard efficiency applies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Callout: show the brief + what it produces.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Practice Challenge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End of each section (2–3 exercises)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Before/after transcript. Answer key on website.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→ 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When a tool exists on the website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One sentence: “For the complete [tool], visit [URL].”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6. Terminology Standards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Always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Preferred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court reporter (general)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reporter (ambiguous)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voice writer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stenomask reporter (outdated)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digital reporter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electronic reporter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transcript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“the record” (use only in legal context)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speech recognition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voice recognition / speech-to-text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 software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reporting software (vague)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scopist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editor (ambiguous)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verbatim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word-for-word (informal)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voice brief / oral shorthand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verbal macro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stenographic reporter (context 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steno reporter (informal)</w:t>
            </w:r>
          </w:p>
        </w:tc>
      </w:tr>
    </w:tbl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Product Names (capitalize; abbreviate only after first full use)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Dragon NaturallySpeaking (→ Dragon after first mention)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Eclipse (Advantage Software)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CaseCATalyst (Stenograph) — note the internal capitalization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RealTeam, Connection Magic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Legal Citations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Case names in italics: Mercado v. DynaCorp, O’Connor v. Oakhurst Dairy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Rules abbreviated: FRE 106, FRE 801(d)(2), FRCP 30(c), FRCP 32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Standards: NIST FIPS 140-3, ASTM F2575-14, Bluebook Rule 5.3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AAERT standards for bracket annotations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7. Formatting Standards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Manuscript Format (Markdown)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All drafts written in Markdown (.md files)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Export to EPUB + PDF via Pandoc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Same Markdown source feeds WordPress for website content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Transcript Mockup Format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All transcript examples use monospace formatting to simulate a real 25-line transcript page: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10-pitch Courier or equivalent monospace font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1.25” left margin simulation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Line numbers where relevant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Q/A indentation: Q and A flush left, continuation lines indented 5 spaces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Chapter Length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Target: 4,000–5,000 words per section (20–25 minute read)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Subsections: 800–1,500 words each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No section exceeds 6,000 words without a compelling reason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Callout Box Formatting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Pro Tip: green-tinted background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Common Pitfall: amber/yellow background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From the Record: blue-tinted background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Voice Brief: teal background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Transcript Example: monospace, gray background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8. Reader Engagement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What Keeps Readers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Open each section with a “From the Record” hook (2–3 sentences that set a dramatic scenario)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Mentor voice, not professor voice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Chapters ~4,000–5,000 words (20–25 min read)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Every section ends with 2–3 Practice Challenges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Cross-reference the website for deep dives: “For the full list, visit [URL]”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Real consequences: “This error cost $2.3M”, “This nearly caused a mistrial”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Voice briefs and shortcuts reward the reader for sticking with you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What Loses Readers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Long rule blocks without examples (never more than 2 rules before showing one in action)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Tables interrupting narrative flow (tables belong in the book only when small; large ones go to website)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Academic language: “the linguistic implications of” → “here’s why this matters in court”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No stakes: if you can’t explain why breaking the rule matters, the rule doesn’t belong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Repetition without purpose: state it once, show it in action, move on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9. Steno Content Policy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This book is for voice writers and digital reporters. Stenographic reporters are acknowledged but not served.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Section 1.1: Brief paragraph explaining steno exists, with respect, as context for the profession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Certifications: Remove RPR, RMR, RDR. Keep CRR and CRC (relevant to all reporter types)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CAT Software (8.1): Reframed for voice writers. Not steno translation.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No steno theory, shorthand dictionaries, or machine-specific instruction anywhere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If a concept applies to all reporters (ethics, formatting, proofreading), write it universally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10. CAT Software &amp; Web App Policy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CAT Software (Section 8.1)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Deep dive into how voice writers use Eclipse and CaseCATalyst for transcript production. This is NOT about steno translation — it’s about formatting raw Dragon output into a certified transcript, managing job files, building dictionaries, handling exhibits, and producing delivery formats.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Author’s Web App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Mentioned in Section 8.1 under “Emerging alternatives: web-based transcript production tools.” The app is in active development. Treatment: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1–2 paragraphs, honest and brief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Positioned as a lighter-weight option for reporters who want transcript production without traditional CAT licensing costs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No sales pitch, no feature promises, no “coming soon” hype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Example framing: “Web-based tools are emerging that aim to give voice writers the formatting and production capabilities of traditional CAT software through a browser, without the steep licensing costs. One such tool, currently in development, focuses specifically on the voice writer workflow...”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11. AI Tool Integration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Claude (Lead Writer)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Start every writing prompt with the relevant Style Bible section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Include the 3-Layer Method reminder in every section-writing prompt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Provide the section’s TOC outline + word target in each prompt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Cursor (.cursorrules)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Create a .cursorrules file in the project root containing the full Style Bible. This ensures every file Cursor touches inherits the voice, terminology, and formatting rules. The .cursorrules file should contain: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Sections 3 (Voice &amp; Tone), 6 (Terminology), 7 (Formatting) from this Bible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The 3-Layer Method (Section 4)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The Steno Policy (Section 9)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The CAT/Web App Policy (Section 10)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ChatGPT (Fact-Check)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Use with web search enabled for: state rules, cert requirements, case citations, medical terms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Verify all FRE, FRCP, and Bluebook references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Cross-check jurisdiction-specific formatting (CA MTFS, TX TAMES, Federal)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Gemini (Second Opinion)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Review completed sections for accuracy, alternative phrasing, blind spots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Compare against Style Bible for consistency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12.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Feb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Initial Style Bible (voice, tone, formatting)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Feb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Added two-product strategy, audience table, steno policy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3.0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Feb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Added: 3-Layer Method, recurring elements, reader engagement, CAT/web app policy, AI tool integration, .cursorrules spec, legal citations standards, ASTM/NIST/Bluebook refs, graphics plan references. Integrated all source material.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v3.0 FINAL — February 2026 — STYLE BIBLE LOCKED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2026-02-06T22:17:32.619Z</dcterms:created>
  <dcterms:modified xsi:type="dcterms:W3CDTF">2026-02-06T22:17:32.620Z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