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D97706" w:sz="36" w:space="10"/>
        </w:pBdr>
        <w:spacing w:after="0"/>
        <w:ind w:left="240"/>
      </w:pPr>
      <w:r>
        <w:rPr>
          <w:rFonts w:ascii="Arial" w:cs="Arial" w:eastAsia="Arial" w:hAnsi="Arial"/>
          <w:b/>
          <w:bCs/>
          <w:color w:val="1E3A5F"/>
          <w:sz w:val="64"/>
          <w:szCs w:val="64"/>
        </w:rPr>
        <w:t xml:space="preserve">Data As A Service (DaaS)</w:t>
      </w:r>
    </w:p>
    <w:p>
      <w:pPr>
        <w:spacing w:after="80"/>
        <w:ind w:left="240"/>
      </w:pPr>
      <w:r>
        <w:rPr>
          <w:rFonts w:ascii="Arial" w:cs="Arial" w:eastAsia="Arial" w:hAnsi="Arial"/>
          <w:b/>
          <w:bCs/>
          <w:color w:val="D97706"/>
          <w:sz w:val="24"/>
          <w:szCs w:val="24"/>
        </w:rPr>
        <w:t xml:space="preserve">Framework, Dimensional Model &amp; State Dataflow Request Process</w:t>
      </w:r>
    </w:p>
    <w:p>
      <w:pPr>
        <w:spacing w:after="240"/>
        <w:ind w:left="240"/>
      </w:pPr>
      <w:r>
        <w:rPr>
          <w:rFonts w:ascii="Arial" w:cs="Arial" w:eastAsia="Arial" w:hAnsi="Arial"/>
          <w:color w:val="6B7280"/>
          <w:sz w:val="19"/>
          <w:szCs w:val="19"/>
        </w:rPr>
        <w:t xml:space="preserve">v0.1 DRAFT  |  April 2026</w:t>
      </w:r>
    </w:p>
    <w:p>
      <w:pPr>
        <w:spacing w:after="80"/>
      </w:pPr>
      <w:r>
        <w:rPr>
          <w:rFonts w:ascii="Arial" w:cs="Arial" w:eastAsia="Arial" w:hAnsi="Arial"/>
          <w:color w:val="888888"/>
          <w:sz w:val="20"/>
          <w:szCs w:val="20"/>
        </w:rPr>
        <w:t xml:space="preserve">Army National Guard  |  NGB Digital Transformation Office  |  Version 0.1 DRAFT  |  April 2, 2026</w:t>
      </w:r>
    </w:p>
    <w:p/>
    <w:p>
      <w:pPr>
        <w:pStyle w:val="Heading1"/>
      </w:pPr>
      <w:r>
        <w:t xml:space="preserve">1. Purpose &amp; Scope</w:t>
      </w:r>
    </w:p>
    <w:p>
      <w:pPr>
        <w:spacing w:after="140"/>
      </w:pPr>
      <w:r>
        <w:rPr>
          <w:rFonts w:ascii="Arial" w:cs="Arial" w:eastAsia="Arial" w:hAnsi="Arial"/>
          <w:color w:val="111827"/>
          <w:sz w:val="20"/>
          <w:szCs w:val="20"/>
        </w:rPr>
        <w:t xml:space="preserve">This document defines the Army National Guard (ARNG) Data As A Service (DaaS) framework. DaaS provides the 54 states and territories with standardized, governed access to canonical ARNG data — pulled from authoritative source systems at the NGB level and delivered directly into each state's Power Platform environment.</w:t>
      </w:r>
    </w:p>
    <w:p/>
    <w:p>
      <w:pPr>
        <w:spacing w:after="140"/>
      </w:pPr>
      <w:r>
        <w:rPr>
          <w:rFonts w:ascii="Arial" w:cs="Arial" w:eastAsia="Arial" w:hAnsi="Arial"/>
          <w:color w:val="111827"/>
          <w:sz w:val="20"/>
          <w:szCs w:val="20"/>
        </w:rPr>
        <w:t xml:space="preserve">States do not build or maintain their own data pipelines. Instead, they request pre-defined dataflows from NGB. NGB is the data provider. States are data consumers.</w:t>
      </w:r>
    </w:p>
    <w:p/>
    <w:p>
      <w:pPr>
        <w:spacing w:after="140"/>
      </w:pPr>
      <w:r>
        <w:rPr>
          <w:rFonts w:ascii="Arial" w:cs="Arial" w:eastAsia="Arial" w:hAnsi="Arial"/>
          <w:color w:val="111827"/>
          <w:sz w:val="20"/>
          <w:szCs w:val="20"/>
        </w:rPr>
        <w:t xml:space="preserve">This document covers: the conceptual architecture, the dimensional data model, the full table and field catalog, naming conventions, the state dataflow request process, refresh cadences, and governance.</w:t>
      </w:r>
    </w:p>
    <w:p/>
    <w:p>
      <w:pPr>
        <w:pStyle w:val="Heading1"/>
      </w:pPr>
      <w:r>
        <w:t xml:space="preserve">2. Architecture Overview</w:t>
      </w:r>
    </w:p>
    <w:p>
      <w:pPr>
        <w:pStyle w:val="Heading2"/>
      </w:pPr>
      <w:r>
        <w:t xml:space="preserve">2.1 Data Flow</w:t>
      </w:r>
    </w:p>
    <w:p>
      <w:pPr>
        <w:spacing w:after="140"/>
      </w:pPr>
      <w:r>
        <w:rPr>
          <w:rFonts w:ascii="Arial" w:cs="Arial" w:eastAsia="Arial" w:hAnsi="Arial"/>
          <w:color w:val="111827"/>
          <w:sz w:val="20"/>
          <w:szCs w:val="20"/>
        </w:rPr>
        <w:t xml:space="preserve">Source systems push data to the NGB Central Data Hub. NGB transforms and models that data into the canonical dimensional model. States then pull approved subsets of that data into their Power Platform environments via Power Platform Dataflows or NGB-provisioned Dataverse tables.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
        <w:gridCol w:w="2000"/>
        <w:gridCol w:w="400"/>
        <w:gridCol w:w="2000"/>
        <w:gridCol w:w="400"/>
        <w:gridCol w:w="2160"/>
      </w:tblGrid>
      <w:tr>
        <w:tc>
          <w:tcPr>
            <w:tcW w:type="dxa" w:w="2200"/>
            <w:shd w:fill="1E3A5F" w:val="clear"/>
            <w:tcMar>
              <w:top w:type="dxa" w:w="80"/>
              <w:left w:type="dxa" w:w="120"/>
              <w:bottom w:type="dxa" w:w="80"/>
              <w:right w:type="dxa" w:w="120"/>
            </w:tcMar>
          </w:tcPr>
          <w:p>
            <w:r>
              <w:rPr>
                <w:rFonts w:ascii="Arial" w:cs="Arial" w:eastAsia="Arial" w:hAnsi="Arial"/>
                <w:b/>
                <w:bCs/>
                <w:color w:val="FFFFFF"/>
                <w:sz w:val="17"/>
                <w:szCs w:val="17"/>
              </w:rPr>
              <w:t xml:space="preserve">SOURCE SYSTEMS
IPPS-A | DJMS-RC (TBD) | ATRRS | Guardian Nexus | Forecast | Checkbook</w:t>
            </w:r>
          </w:p>
        </w:tc>
        <w:tc>
          <w:tcPr>
            <w:tcW w:type="dxa" w:w="400"/>
            <w:shd w:fill="FFFFFF" w:val="clear"/>
            <w:tcMar>
              <w:top w:type="dxa" w:w="80"/>
              <w:left w:type="dxa" w:w="120"/>
              <w:bottom w:type="dxa" w:w="80"/>
              <w:right w:type="dxa" w:w="120"/>
            </w:tcMar>
          </w:tcPr>
          <w:p>
            <w:r>
              <w:rPr>
                <w:rFonts w:ascii="Arial" w:cs="Arial" w:eastAsia="Arial" w:hAnsi="Arial"/>
                <w:b/>
                <w:bCs/>
                <w:color w:val="1E3A5F"/>
                <w:sz w:val="17"/>
                <w:szCs w:val="17"/>
              </w:rPr>
              <w:t xml:space="preserve">→</w:t>
            </w:r>
          </w:p>
        </w:tc>
        <w:tc>
          <w:tcPr>
            <w:tcW w:type="dxa" w:w="2000"/>
            <w:shd w:fill="D97706" w:val="clear"/>
            <w:tcMar>
              <w:top w:type="dxa" w:w="80"/>
              <w:left w:type="dxa" w:w="120"/>
              <w:bottom w:type="dxa" w:w="80"/>
              <w:right w:type="dxa" w:w="120"/>
            </w:tcMar>
          </w:tcPr>
          <w:p>
            <w:r>
              <w:rPr>
                <w:rFonts w:ascii="Arial" w:cs="Arial" w:eastAsia="Arial" w:hAnsi="Arial"/>
                <w:b/>
                <w:bCs/>
                <w:color w:val="FFFFFF"/>
                <w:sz w:val="17"/>
                <w:szCs w:val="17"/>
              </w:rPr>
              <w:t xml:space="preserve">NGB CENTRAL HUB
Azure Data Lake / Dataverse (NGB tenant)
Dimensional Model Applied</w:t>
            </w:r>
          </w:p>
        </w:tc>
        <w:tc>
          <w:tcPr>
            <w:tcW w:type="dxa" w:w="400"/>
            <w:shd w:fill="FFFFFF" w:val="clear"/>
            <w:tcMar>
              <w:top w:type="dxa" w:w="80"/>
              <w:left w:type="dxa" w:w="120"/>
              <w:bottom w:type="dxa" w:w="80"/>
              <w:right w:type="dxa" w:w="120"/>
            </w:tcMar>
          </w:tcPr>
          <w:p>
            <w:r>
              <w:rPr>
                <w:rFonts w:ascii="Arial" w:cs="Arial" w:eastAsia="Arial" w:hAnsi="Arial"/>
                <w:b/>
                <w:bCs/>
                <w:color w:val="1E3A5F"/>
                <w:sz w:val="17"/>
                <w:szCs w:val="17"/>
              </w:rPr>
              <w:t xml:space="preserve">→</w:t>
            </w:r>
          </w:p>
        </w:tc>
        <w:tc>
          <w:tcPr>
            <w:tcW w:type="dxa" w:w="2000"/>
            <w:shd w:fill="0D6E6E" w:val="clear"/>
            <w:tcMar>
              <w:top w:type="dxa" w:w="80"/>
              <w:left w:type="dxa" w:w="120"/>
              <w:bottom w:type="dxa" w:w="80"/>
              <w:right w:type="dxa" w:w="120"/>
            </w:tcMar>
          </w:tcPr>
          <w:p>
            <w:r>
              <w:rPr>
                <w:rFonts w:ascii="Arial" w:cs="Arial" w:eastAsia="Arial" w:hAnsi="Arial"/>
                <w:b/>
                <w:bCs/>
                <w:color w:val="FFFFFF"/>
                <w:sz w:val="17"/>
                <w:szCs w:val="17"/>
              </w:rPr>
              <w:t xml:space="preserve">STATE POWER PLATFORM
Dataverse Tables or Power Platform Dataflows injected per state request</w:t>
            </w:r>
          </w:p>
        </w:tc>
        <w:tc>
          <w:tcPr>
            <w:tcW w:type="dxa" w:w="400"/>
            <w:shd w:fill="FFFFFF" w:val="clear"/>
            <w:tcMar>
              <w:top w:type="dxa" w:w="80"/>
              <w:left w:type="dxa" w:w="120"/>
              <w:bottom w:type="dxa" w:w="80"/>
              <w:right w:type="dxa" w:w="120"/>
            </w:tcMar>
          </w:tcPr>
          <w:p>
            <w:r>
              <w:rPr>
                <w:rFonts w:ascii="Arial" w:cs="Arial" w:eastAsia="Arial" w:hAnsi="Arial"/>
                <w:b/>
                <w:bCs/>
                <w:color w:val="1E3A5F"/>
                <w:sz w:val="17"/>
                <w:szCs w:val="17"/>
              </w:rPr>
              <w:t xml:space="preserve">→</w:t>
            </w:r>
          </w:p>
        </w:tc>
        <w:tc>
          <w:tcPr>
            <w:tcW w:type="dxa" w:w="2160"/>
            <w:shd w:fill="B45309" w:val="clear"/>
            <w:tcMar>
              <w:top w:type="dxa" w:w="80"/>
              <w:left w:type="dxa" w:w="120"/>
              <w:bottom w:type="dxa" w:w="80"/>
              <w:right w:type="dxa" w:w="120"/>
            </w:tcMar>
          </w:tcPr>
          <w:p>
            <w:r>
              <w:rPr>
                <w:rFonts w:ascii="Arial" w:cs="Arial" w:eastAsia="Arial" w:hAnsi="Arial"/>
                <w:b/>
                <w:bCs/>
                <w:color w:val="FFFFFF"/>
                <w:sz w:val="17"/>
                <w:szCs w:val="17"/>
              </w:rPr>
              <w:t xml:space="preserve">STATE APPS &amp; REPORTS
Power Apps, Power BI, Power Automate built by or for each state</w:t>
            </w:r>
          </w:p>
        </w:tc>
      </w:tr>
    </w:tbl>
    <w:p/>
    <w:p>
      <w:pPr>
        <w:pStyle w:val="Heading2"/>
      </w:pPr>
      <w:r>
        <w:t xml:space="preserve">2.2 NGB-Level Products</w:t>
      </w:r>
    </w:p>
    <w:p>
      <w:pPr>
        <w:spacing w:after="140"/>
      </w:pPr>
      <w:r>
        <w:rPr>
          <w:rFonts w:ascii="Arial" w:cs="Arial" w:eastAsia="Arial" w:hAnsi="Arial"/>
          <w:color w:val="111827"/>
          <w:sz w:val="20"/>
          <w:szCs w:val="20"/>
        </w:rPr>
        <w:t xml:space="preserve">The following products are operated and managed entirely at the NGB level. States are consumers only — they do not manage infrastructure for these products.</w:t>
      </w:r>
    </w:p>
    <w:p>
      <w:pPr>
        <w:pStyle w:val="ListParagraph"/>
        <w:numPr>
          <w:ilvl w:val="0"/>
          <w:numId w:val="2"/>
        </w:numPr>
        <w:spacing w:after="80"/>
      </w:pPr>
      <w:r>
        <w:rPr>
          <w:rFonts w:ascii="Arial" w:cs="Arial" w:eastAsia="Arial" w:hAnsi="Arial"/>
          <w:color w:val="111827"/>
          <w:sz w:val="19"/>
          <w:szCs w:val="19"/>
        </w:rPr>
        <w:t xml:space="preserve">Guardian Nexus — Operational management platform</w:t>
      </w:r>
    </w:p>
    <w:p>
      <w:pPr>
        <w:pStyle w:val="ListParagraph"/>
        <w:numPr>
          <w:ilvl w:val="0"/>
          <w:numId w:val="2"/>
        </w:numPr>
        <w:spacing w:after="80"/>
      </w:pPr>
      <w:r>
        <w:rPr>
          <w:rFonts w:ascii="Arial" w:cs="Arial" w:eastAsia="Arial" w:hAnsi="Arial"/>
          <w:color w:val="111827"/>
          <w:sz w:val="19"/>
          <w:szCs w:val="19"/>
        </w:rPr>
        <w:t xml:space="preserve">Forecast — Data analytics and forecasting platform for ARNG personnel</w:t>
      </w:r>
    </w:p>
    <w:p>
      <w:pPr>
        <w:pStyle w:val="ListParagraph"/>
        <w:numPr>
          <w:ilvl w:val="0"/>
          <w:numId w:val="2"/>
        </w:numPr>
        <w:spacing w:after="80"/>
      </w:pPr>
      <w:r>
        <w:rPr>
          <w:rFonts w:ascii="Arial" w:cs="Arial" w:eastAsia="Arial" w:hAnsi="Arial"/>
          <w:color w:val="111827"/>
          <w:sz w:val="19"/>
          <w:szCs w:val="19"/>
        </w:rPr>
        <w:t xml:space="preserve">Checkbook — Financial visibility and funds management</w:t>
      </w:r>
    </w:p>
    <w:p/>
    <w:p>
      <w:pPr>
        <w:spacing w:after="140"/>
      </w:pPr>
      <w:r>
        <w:rPr>
          <w:rFonts w:ascii="Arial" w:cs="Arial" w:eastAsia="Arial" w:hAnsi="Arial"/>
          <w:color w:val="111827"/>
          <w:sz w:val="20"/>
          <w:szCs w:val="20"/>
        </w:rPr>
        <w:t xml:space="preserve">Data from these products feeds the DaaS layer. States can request dataflows that surface Guardian Nexus events, Forecast outputs, or Checkbook financial summaries in their own Power Platform environments.</w:t>
      </w:r>
    </w:p>
    <w:p/>
    <w:p>
      <w:pPr>
        <w:pStyle w:val="Heading2"/>
      </w:pPr>
      <w:r>
        <w:t xml:space="preserve">2.3 Delivery Mechanisms</w:t>
      </w:r>
    </w:p>
    <w:p>
      <w:pPr>
        <w:pStyle w:val="ListParagraph"/>
        <w:numPr>
          <w:ilvl w:val="0"/>
          <w:numId w:val="2"/>
        </w:numPr>
        <w:spacing w:after="80"/>
      </w:pPr>
      <w:r>
        <w:rPr>
          <w:rFonts w:ascii="Arial" w:cs="Arial" w:eastAsia="Arial" w:hAnsi="Arial"/>
          <w:color w:val="111827"/>
          <w:sz w:val="19"/>
          <w:szCs w:val="19"/>
        </w:rPr>
        <w:t xml:space="preserve">Power Platform Dataflow (PP Dataflow): NGB configures and provisions a dataflow into the state's Power Platform environment. The dataflow runs on a NGB-controlled schedule and refreshes data on the defined cadence. State users query the data from Dataverse tables populated by the dataflow.</w:t>
      </w:r>
    </w:p>
    <w:p>
      <w:pPr>
        <w:pStyle w:val="ListParagraph"/>
        <w:numPr>
          <w:ilvl w:val="0"/>
          <w:numId w:val="2"/>
        </w:numPr>
        <w:spacing w:after="80"/>
      </w:pPr>
      <w:r>
        <w:rPr>
          <w:rFonts w:ascii="Arial" w:cs="Arial" w:eastAsia="Arial" w:hAnsi="Arial"/>
          <w:color w:val="111827"/>
          <w:sz w:val="19"/>
          <w:szCs w:val="19"/>
        </w:rPr>
        <w:t xml:space="preserve">NGB-Pushed Dataverse Tables: For dimension tables that rarely change (Dim_Rank, Dim_MOS, Dim_State, Dim_Date), NGB pushes the full table into the state's Dataverse environment during initial setup and refreshes on a slow cadence. States do not need to request these — they are included in the standard onboarding package.</w:t>
      </w:r>
    </w:p>
    <w:p/>
    <w:p>
      <w:pPr>
        <w:pStyle w:val="Heading1"/>
      </w:pPr>
      <w:r>
        <w:t xml:space="preserve">3. Naming Conventions</w:t>
      </w:r>
    </w:p>
    <w:p>
      <w:pPr>
        <w:spacing w:after="140"/>
      </w:pPr>
      <w:r>
        <w:rPr>
          <w:rFonts w:ascii="Arial" w:cs="Arial" w:eastAsia="Arial" w:hAnsi="Arial"/>
          <w:color w:val="111827"/>
          <w:sz w:val="20"/>
          <w:szCs w:val="20"/>
        </w:rPr>
        <w:t xml:space="preserve">All tables, fields, and dataflows follow strict naming conventions. Consistency across all 54 environments is non-negotiable — it is the foundation of DaaS.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Object</w:t>
            </w:r>
          </w:p>
        </w:tc>
        <w:tc>
          <w:tcPr>
            <w:tcW w:type="dxa" w:w="25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Convention</w:t>
            </w:r>
          </w:p>
        </w:tc>
        <w:tc>
          <w:tcPr>
            <w:tcW w:type="dxa" w:w="486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Examples</w:t>
            </w:r>
          </w:p>
        </w:tc>
      </w:tr>
      <w:tr>
        <w:tc>
          <w:tcPr>
            <w:tcW w:type="dxa" w:w="20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Dimension tables</w:t>
            </w:r>
          </w:p>
        </w:tc>
        <w:tc>
          <w:tcPr>
            <w:tcW w:type="dxa" w:w="25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Dim_[Entity]</w:t>
            </w:r>
          </w:p>
        </w:tc>
        <w:tc>
          <w:tcPr>
            <w:tcW w:type="dxa" w:w="48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Dim_Soldier, Dim_Unit, Dim_MOS, Dim_Rank, Dim_State, Dim_Date, Dim_Training_Course, Dim_Pay_Entitlement</w:t>
            </w:r>
          </w:p>
        </w:tc>
      </w:tr>
      <w:tr>
        <w:tc>
          <w:tcPr>
            <w:tcW w:type="dxa" w:w="20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Fact tables</w:t>
            </w:r>
          </w:p>
        </w:tc>
        <w:tc>
          <w:tcPr>
            <w:tcW w:type="dxa" w:w="25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Fact_[Process]</w:t>
            </w:r>
          </w:p>
        </w:tc>
        <w:tc>
          <w:tcPr>
            <w:tcW w:type="dxa" w:w="48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Fact_Personnel_Snapshot, Fact_Pay_Transaction, Fact_Training_Completion, Fact_Forecast_Event</w:t>
            </w:r>
          </w:p>
        </w:tc>
      </w:tr>
      <w:tr>
        <w:tc>
          <w:tcPr>
            <w:tcW w:type="dxa" w:w="20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Surrogate keys</w:t>
            </w:r>
          </w:p>
        </w:tc>
        <w:tc>
          <w:tcPr>
            <w:tcW w:type="dxa" w:w="25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[table]_key (INT)</w:t>
            </w:r>
          </w:p>
        </w:tc>
        <w:tc>
          <w:tcPr>
            <w:tcW w:type="dxa" w:w="48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soldier_key, unit_key, rank_key</w:t>
            </w:r>
          </w:p>
        </w:tc>
      </w:tr>
      <w:tr>
        <w:tc>
          <w:tcPr>
            <w:tcW w:type="dxa" w:w="20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Natural/source keys</w:t>
            </w:r>
          </w:p>
        </w:tc>
        <w:tc>
          <w:tcPr>
            <w:tcW w:type="dxa" w:w="25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[source_field_name] (VARCHAR)</w:t>
            </w:r>
          </w:p>
        </w:tc>
        <w:tc>
          <w:tcPr>
            <w:tcW w:type="dxa" w:w="48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edipi, uic, mos_code, course_code</w:t>
            </w:r>
          </w:p>
        </w:tc>
      </w:tr>
      <w:tr>
        <w:tc>
          <w:tcPr>
            <w:tcW w:type="dxa" w:w="20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Foreign keys</w:t>
            </w:r>
          </w:p>
        </w:tc>
        <w:tc>
          <w:tcPr>
            <w:tcW w:type="dxa" w:w="25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[dim_table]_key (INT FK)</w:t>
            </w:r>
          </w:p>
        </w:tc>
        <w:tc>
          <w:tcPr>
            <w:tcW w:type="dxa" w:w="48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soldier_key, unit_key in a fact table</w:t>
            </w:r>
          </w:p>
        </w:tc>
      </w:tr>
      <w:tr>
        <w:tc>
          <w:tcPr>
            <w:tcW w:type="dxa" w:w="20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Date fields</w:t>
            </w:r>
          </w:p>
        </w:tc>
        <w:tc>
          <w:tcPr>
            <w:tcW w:type="dxa" w:w="25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[field]_date (DATE) or [field]_date_key (INT FK)</w:t>
            </w:r>
          </w:p>
        </w:tc>
        <w:tc>
          <w:tcPr>
            <w:tcW w:type="dxa" w:w="48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snapshot_date_key, record_effective_dt, completion_date_key</w:t>
            </w:r>
          </w:p>
        </w:tc>
      </w:tr>
      <w:tr>
        <w:tc>
          <w:tcPr>
            <w:tcW w:type="dxa" w:w="20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Boolean flags</w:t>
            </w:r>
          </w:p>
        </w:tc>
        <w:tc>
          <w:tcPr>
            <w:tcW w:type="dxa" w:w="25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is_[condition] or has_[condition]</w:t>
            </w:r>
          </w:p>
        </w:tc>
        <w:tc>
          <w:tcPr>
            <w:tcW w:type="dxa" w:w="48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is_current, is_deployable, is_active, is_territory</w:t>
            </w:r>
          </w:p>
        </w:tc>
      </w:tr>
      <w:tr>
        <w:tc>
          <w:tcPr>
            <w:tcW w:type="dxa" w:w="20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Dataflow names</w:t>
            </w:r>
          </w:p>
        </w:tc>
        <w:tc>
          <w:tcPr>
            <w:tcW w:type="dxa" w:w="25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[State]_[Table]_Dataflow</w:t>
            </w:r>
          </w:p>
        </w:tc>
        <w:tc>
          <w:tcPr>
            <w:tcW w:type="dxa" w:w="48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WA_Fact_Personnel_Snapshot_Dataflow, TX_Dim_Soldier_Dataflow</w:t>
            </w:r>
          </w:p>
        </w:tc>
      </w:tr>
      <w:tr>
        <w:tc>
          <w:tcPr>
            <w:tcW w:type="dxa" w:w="20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All lowercase</w:t>
            </w:r>
          </w:p>
        </w:tc>
        <w:tc>
          <w:tcPr>
            <w:tcW w:type="dxa" w:w="25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snake_case throughout</w:t>
            </w:r>
          </w:p>
        </w:tc>
        <w:tc>
          <w:tcPr>
            <w:tcW w:type="dxa" w:w="48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soldier_key not SoldierKey or SOLDIER_KEY</w:t>
            </w:r>
          </w:p>
        </w:tc>
      </w:tr>
    </w:tbl>
    <w:p/>
    <w:p>
      <w:pPr>
        <w:pStyle w:val="Heading1"/>
      </w:pPr>
      <w:r>
        <w:t xml:space="preserve">4. Dimensional Data Model</w:t>
      </w:r>
    </w:p>
    <w:p>
      <w:pPr>
        <w:spacing w:after="140"/>
      </w:pPr>
      <w:r>
        <w:rPr>
          <w:rFonts w:ascii="Arial" w:cs="Arial" w:eastAsia="Arial" w:hAnsi="Arial"/>
          <w:color w:val="111827"/>
          <w:sz w:val="20"/>
          <w:szCs w:val="20"/>
        </w:rPr>
        <w:t xml:space="preserve">The DaaS layer uses a star schema. Dimension tables describe the 'who, what, where, and when.' Fact tables record events and measures. Every fact table row connects to dimensions via surrogate keys.</w:t>
      </w:r>
    </w:p>
    <w:p/>
    <w:p>
      <w:pPr>
        <w:spacing w:after="140"/>
      </w:pPr>
      <w:r>
        <w:rPr>
          <w:rFonts w:ascii="Arial" w:cs="Arial" w:eastAsia="Arial" w:hAnsi="Arial"/>
          <w:color w:val="111827"/>
          <w:sz w:val="20"/>
          <w:szCs w:val="20"/>
        </w:rPr>
        <w:t xml:space="preserve">All dimension tables use Slowly Changing Dimension Type 2 (SCD2) for entities that can change over time (Dim_Soldier, Dim_Unit). A record_effective_dt and record_end_dt field plus an is_current flag allow historical queries without data loss.</w:t>
      </w:r>
    </w:p>
    <w:p/>
    <w:p>
      <w:pPr>
        <w:pStyle w:val="Heading2"/>
      </w:pPr>
      <w:r>
        <w:t xml:space="preserve">4.1 Dimension Tables</w:t>
      </w:r>
    </w:p>
    <w:p/>
    <w:p>
      <w:pPr>
        <w:pStyle w:val="Heading3"/>
      </w:pPr>
      <w:r>
        <w:t xml:space="preserve">Dim_Soldier</w:t>
      </w:r>
    </w:p>
    <w:p>
      <w:pPr>
        <w:spacing w:after="140"/>
      </w:pPr>
      <w:r>
        <w:rPr>
          <w:rFonts w:ascii="Arial" w:cs="Arial" w:eastAsia="Arial" w:hAnsi="Arial"/>
          <w:i/>
          <w:iCs/>
          <w:color w:val="111827"/>
          <w:sz w:val="20"/>
          <w:szCs w:val="20"/>
        </w:rPr>
        <w:t xml:space="preserve">One row per soldier record version (SCD2). Tracks the full personnel profile. Source: IPPS-A.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400"/>
        <w:gridCol w:w="3300"/>
        <w:gridCol w:w="2260"/>
      </w:tblGrid>
      <w:tr>
        <w:trPr>
          <w:tblHeader/>
        </w:trPr>
        <w:tc>
          <w:tcPr>
            <w:tcW w:type="dxa" w:w="15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Field Name</w:t>
            </w:r>
          </w:p>
        </w:tc>
        <w:tc>
          <w:tcPr>
            <w:tcW w:type="dxa" w:w="9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Data Type</w:t>
            </w:r>
          </w:p>
        </w:tc>
        <w:tc>
          <w:tcPr>
            <w:tcW w:type="dxa" w:w="14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Source</w:t>
            </w:r>
          </w:p>
        </w:tc>
        <w:tc>
          <w:tcPr>
            <w:tcW w:type="dxa" w:w="33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c>
          <w:tcPr>
            <w:tcW w:type="dxa" w:w="226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Example</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soldier_key</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(PK)</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Surrogate key — never changes</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10045</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edipi</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VARCHAR(10)</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DoD ID — unique per person</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1234567890</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last_name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VARCHAR(50)</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Soldier last name</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SMITH</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first_name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VARCHAR(50)</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Soldier first name</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JAMES</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middle_initial</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VARCHAR(1)</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Middle initial</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R</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rank_code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VARCHAR(5)</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Current rank code — FK to Dim_Rank</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SGT</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pay_grade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VARCHAR(4)</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Pay grade (E-1 through O-10)</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E-5</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mos_code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VARCHAR(6)</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Primary MOS — FK to Dim_MOS</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25U10</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unit_uic</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VARCHAR(10)</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Unit Identification Code — FK to Dim_Unit</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WA2AAA</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state_code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VARCHAR(2)</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Home state — FK to Dim_State</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WA</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component</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VARCHAR(4)</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ARNG, USAR, RA, etc.</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ARNG</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gender</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VARCHAR(1)</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M / F / X per DEERS</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M</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birth_year</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SMALLINT</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Year of birth (no full DOB for PII reasons)</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1990</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years_of_service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SMALLINT</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Total qualifying years of service</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8</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deployment_count</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SMALLINT</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Number of deployments</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2</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security_clearance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VARCHAR(20)</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Highest clearance level held</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SECRET</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record_effective_dt</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DATE</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Date this record became effective (SCD Type 2)</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2025-01-01</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record_end_dt</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DATE</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Date this record expired (NULL = current)</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NULL</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is_current</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BOOLEAN</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TRUE if this is the current active record</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TRUE</w:t>
            </w:r>
          </w:p>
        </w:tc>
      </w:tr>
    </w:tbl>
    <w:p/>
    <w:p>
      <w:pPr>
        <w:pStyle w:val="Heading3"/>
      </w:pPr>
      <w:r>
        <w:t xml:space="preserve">Dim_Unit</w:t>
      </w:r>
    </w:p>
    <w:p>
      <w:pPr>
        <w:spacing w:after="140"/>
      </w:pPr>
      <w:r>
        <w:rPr>
          <w:rFonts w:ascii="Arial" w:cs="Arial" w:eastAsia="Arial" w:hAnsi="Arial"/>
          <w:i/>
          <w:iCs/>
          <w:color w:val="111827"/>
          <w:sz w:val="20"/>
          <w:szCs w:val="20"/>
        </w:rPr>
        <w:t xml:space="preserve">One row per unit. Tracks organizational hierarchy and strength. Source: IPPS-A.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400"/>
        <w:gridCol w:w="3300"/>
        <w:gridCol w:w="2260"/>
      </w:tblGrid>
      <w:tr>
        <w:trPr>
          <w:tblHeader/>
        </w:trPr>
        <w:tc>
          <w:tcPr>
            <w:tcW w:type="dxa" w:w="15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Field Name</w:t>
            </w:r>
          </w:p>
        </w:tc>
        <w:tc>
          <w:tcPr>
            <w:tcW w:type="dxa" w:w="9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Data Type</w:t>
            </w:r>
          </w:p>
        </w:tc>
        <w:tc>
          <w:tcPr>
            <w:tcW w:type="dxa" w:w="14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Source</w:t>
            </w:r>
          </w:p>
        </w:tc>
        <w:tc>
          <w:tcPr>
            <w:tcW w:type="dxa" w:w="33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c>
          <w:tcPr>
            <w:tcW w:type="dxa" w:w="226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Example</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unit_key</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(PK)</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Surrogate key</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5001</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uic</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VARCHAR(10)</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Unit Identification Code — natural key</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WA2AAA</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unit_name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VARCHAR(100)</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Full unit name</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1-161 Infantry</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unit_short_name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VARCHAR(30)</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Abbreviated unit name</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1-161 IN</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state_code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VARCHAR(2)</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State the unit belongs to — FK to Dim_State</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WA</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branch</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VARCHAR(30)</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Branch / functional area</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Infantry</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echelon</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VARCHAR(20)</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Company / Battalion / Brigade / Division</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Battalion</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force_structure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VARCHAR(10)</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MTOE or TDA</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MTOE</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authorized_strength</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SMALLINT</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Authorized end strength per MTOE/TDA</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540</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assigned_strength</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SMALLINT</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Currently assigned soldiers</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498</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parent_uic</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VARCHAR(10)</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Parent unit UIC for org hierarchy</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WA2A00</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is_active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BOOLEAN</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Whether unit is currently active</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TRUE</w:t>
            </w:r>
          </w:p>
        </w:tc>
      </w:tr>
    </w:tbl>
    <w:p/>
    <w:p>
      <w:pPr>
        <w:pStyle w:val="Heading3"/>
      </w:pPr>
      <w:r>
        <w:t xml:space="preserve">Dim_MOS</w:t>
      </w:r>
    </w:p>
    <w:p>
      <w:pPr>
        <w:spacing w:after="140"/>
      </w:pPr>
      <w:r>
        <w:rPr>
          <w:rFonts w:ascii="Arial" w:cs="Arial" w:eastAsia="Arial" w:hAnsi="Arial"/>
          <w:i/>
          <w:iCs/>
          <w:color w:val="111827"/>
          <w:sz w:val="20"/>
          <w:szCs w:val="20"/>
        </w:rPr>
        <w:t xml:space="preserve">One row per MOS code. Source: SIDPERS / AR 611-1.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400"/>
        <w:gridCol w:w="3300"/>
        <w:gridCol w:w="2260"/>
      </w:tblGrid>
      <w:tr>
        <w:trPr>
          <w:tblHeader/>
        </w:trPr>
        <w:tc>
          <w:tcPr>
            <w:tcW w:type="dxa" w:w="15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Field Name</w:t>
            </w:r>
          </w:p>
        </w:tc>
        <w:tc>
          <w:tcPr>
            <w:tcW w:type="dxa" w:w="9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Data Type</w:t>
            </w:r>
          </w:p>
        </w:tc>
        <w:tc>
          <w:tcPr>
            <w:tcW w:type="dxa" w:w="14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Source</w:t>
            </w:r>
          </w:p>
        </w:tc>
        <w:tc>
          <w:tcPr>
            <w:tcW w:type="dxa" w:w="33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c>
          <w:tcPr>
            <w:tcW w:type="dxa" w:w="226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Example</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mos_key</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(PK)</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Surrogate key</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3021</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mos_code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VARCHAR(6)</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Full MOS code including skill level</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25U10</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mos_base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VARCHAR(3)</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Base MOS without skill level</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25U</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mos_title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VARCHAR(100)</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Official MOS title</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Signal Support Systems Specialist</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career_mgmt_field</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VARCHAR(5)</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Career Management Field (CMF) code</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25</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branch</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VARCHAR(30)</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Branch or functional area</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Signal</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officer_enlisted</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VARCHAR(10)</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Officer / Enlisted / Warrant</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Enlisted</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is_critical_mos</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BOOLEAN</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Flagged as a critical MOS per NGB guidance</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FALSE</w:t>
            </w:r>
          </w:p>
        </w:tc>
      </w:tr>
    </w:tbl>
    <w:p/>
    <w:p>
      <w:pPr>
        <w:pStyle w:val="Heading3"/>
      </w:pPr>
      <w:r>
        <w:t xml:space="preserve">Dim_Rank</w:t>
      </w:r>
    </w:p>
    <w:p>
      <w:pPr>
        <w:spacing w:after="140"/>
      </w:pPr>
      <w:r>
        <w:rPr>
          <w:rFonts w:ascii="Arial" w:cs="Arial" w:eastAsia="Arial" w:hAnsi="Arial"/>
          <w:i/>
          <w:iCs/>
          <w:color w:val="111827"/>
          <w:sz w:val="20"/>
          <w:szCs w:val="20"/>
        </w:rPr>
        <w:t xml:space="preserve">One row per rank. Relatively static. Source: SIDPERS / AR 600-8-19.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400"/>
        <w:gridCol w:w="3300"/>
        <w:gridCol w:w="2260"/>
      </w:tblGrid>
      <w:tr>
        <w:trPr>
          <w:tblHeader/>
        </w:trPr>
        <w:tc>
          <w:tcPr>
            <w:tcW w:type="dxa" w:w="15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Field Name</w:t>
            </w:r>
          </w:p>
        </w:tc>
        <w:tc>
          <w:tcPr>
            <w:tcW w:type="dxa" w:w="9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Data Type</w:t>
            </w:r>
          </w:p>
        </w:tc>
        <w:tc>
          <w:tcPr>
            <w:tcW w:type="dxa" w:w="14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Source</w:t>
            </w:r>
          </w:p>
        </w:tc>
        <w:tc>
          <w:tcPr>
            <w:tcW w:type="dxa" w:w="33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c>
          <w:tcPr>
            <w:tcW w:type="dxa" w:w="226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Example</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rank_key</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(PK)</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Surrogate key</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15</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rank_code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VARCHAR(5)</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Rank abbreviation</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SSG</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rank_title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VARCHAR(30)</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Full rank title</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Staff Sergeant</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pay_grade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VARCHAR(4)</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Pay grade</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E-6</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tier</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VARCHAR(15)</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Enlisted / Warrant / Company-Grade / Field-Grade / General</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Enlisted</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sort_order</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SMALLINT</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Numeric sort order for reporting (E1=1, O10=29)</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16</w:t>
            </w:r>
          </w:p>
        </w:tc>
      </w:tr>
    </w:tbl>
    <w:p/>
    <w:p>
      <w:pPr>
        <w:pStyle w:val="Heading3"/>
      </w:pPr>
      <w:r>
        <w:t xml:space="preserve">Dim_State</w:t>
      </w:r>
    </w:p>
    <w:p>
      <w:pPr>
        <w:spacing w:after="140"/>
      </w:pPr>
      <w:r>
        <w:rPr>
          <w:rFonts w:ascii="Arial" w:cs="Arial" w:eastAsia="Arial" w:hAnsi="Arial"/>
          <w:i/>
          <w:iCs/>
          <w:color w:val="111827"/>
          <w:sz w:val="20"/>
          <w:szCs w:val="20"/>
        </w:rPr>
        <w:t xml:space="preserve">One row per ARNG entity (all 54). Includes Power Platform and DaaS status flags. Source: NGB DaaS.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400"/>
        <w:gridCol w:w="3300"/>
        <w:gridCol w:w="2260"/>
      </w:tblGrid>
      <w:tr>
        <w:trPr>
          <w:tblHeader/>
        </w:trPr>
        <w:tc>
          <w:tcPr>
            <w:tcW w:type="dxa" w:w="15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Field Name</w:t>
            </w:r>
          </w:p>
        </w:tc>
        <w:tc>
          <w:tcPr>
            <w:tcW w:type="dxa" w:w="9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Data Type</w:t>
            </w:r>
          </w:p>
        </w:tc>
        <w:tc>
          <w:tcPr>
            <w:tcW w:type="dxa" w:w="14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Source</w:t>
            </w:r>
          </w:p>
        </w:tc>
        <w:tc>
          <w:tcPr>
            <w:tcW w:type="dxa" w:w="33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c>
          <w:tcPr>
            <w:tcW w:type="dxa" w:w="226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Example</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state_key</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(PK)</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Surrogate key</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48</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state_code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VARCHAR(2)</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2-letter FIPS code</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TX</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state_name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VARCHAR(30)</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Full state or territory name</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Texas</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region</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VARCHAR(20)</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region grouping</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South Central</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jfhq_location</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VARCHAR(50)</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Joint Force Headquarters city/installation</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Camp Mabry, Austin TX</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is_territory</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BOOLEAN</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TRUE for DC, PR, GU, USVI, etc.</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FALSE</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pp_env_provisioned</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BOOLEAN</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Whether state Power Platform env is provisioned</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TRUE</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daas_enrolled</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BOOLEAN</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Whether state has completed DaaS onboarding</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TRUE</w:t>
            </w:r>
          </w:p>
        </w:tc>
      </w:tr>
    </w:tbl>
    <w:p/>
    <w:p>
      <w:pPr>
        <w:pStyle w:val="Heading3"/>
      </w:pPr>
      <w:r>
        <w:t xml:space="preserve">Dim_Date</w:t>
      </w:r>
    </w:p>
    <w:p>
      <w:pPr>
        <w:spacing w:after="140"/>
      </w:pPr>
      <w:r>
        <w:rPr>
          <w:rFonts w:ascii="Arial" w:cs="Arial" w:eastAsia="Arial" w:hAnsi="Arial"/>
          <w:i/>
          <w:iCs/>
          <w:color w:val="111827"/>
          <w:sz w:val="20"/>
          <w:szCs w:val="20"/>
        </w:rPr>
        <w:t xml:space="preserve">Standard date spine. Pre-populated 10 years back and 5 years forward. Includes DoD fiscal year logic. Source: NGB DaaS.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400"/>
        <w:gridCol w:w="3300"/>
        <w:gridCol w:w="2260"/>
      </w:tblGrid>
      <w:tr>
        <w:trPr>
          <w:tblHeader/>
        </w:trPr>
        <w:tc>
          <w:tcPr>
            <w:tcW w:type="dxa" w:w="15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Field Name</w:t>
            </w:r>
          </w:p>
        </w:tc>
        <w:tc>
          <w:tcPr>
            <w:tcW w:type="dxa" w:w="9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Data Type</w:t>
            </w:r>
          </w:p>
        </w:tc>
        <w:tc>
          <w:tcPr>
            <w:tcW w:type="dxa" w:w="14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Source</w:t>
            </w:r>
          </w:p>
        </w:tc>
        <w:tc>
          <w:tcPr>
            <w:tcW w:type="dxa" w:w="33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c>
          <w:tcPr>
            <w:tcW w:type="dxa" w:w="226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Example</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date_key</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(PK)</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Surrogate key in YYYYMMDD format</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20260402</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full_date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DATE</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Calendar date</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2026-04-02</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day_of_week</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VARCHAR(10)</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Monday–Sunday</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Thursday</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day_of_month</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SMALLINT</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1–31</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2</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month_num</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SMALLINT</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1–12</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4</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month_name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VARCHAR(10)</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January–December</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April</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calendar_quarter</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SMALLINT</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1–4 calendar quarter</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2</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calendar_year</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SMALLINT</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4-digit year</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2026</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fiscal_year</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SMALLINT</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DoD fiscal year (Oct 1 start)</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2026</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fiscal_quarter</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SMALLINT</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1–4 fiscal quarter</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2</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is_weekend</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BOOLEAN</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TRUE for Saturday/Sunday</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FALSE</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is_federal_holiday</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BOOLEAN</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TRUE for US federal holidays</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FALSE</w:t>
            </w:r>
          </w:p>
        </w:tc>
      </w:tr>
    </w:tbl>
    <w:p/>
    <w:p>
      <w:pPr>
        <w:pStyle w:val="Heading3"/>
      </w:pPr>
      <w:r>
        <w:t xml:space="preserve">Dim_Training_Course</w:t>
      </w:r>
    </w:p>
    <w:p>
      <w:pPr>
        <w:spacing w:after="140"/>
      </w:pPr>
      <w:r>
        <w:rPr>
          <w:rFonts w:ascii="Arial" w:cs="Arial" w:eastAsia="Arial" w:hAnsi="Arial"/>
          <w:i/>
          <w:iCs/>
          <w:color w:val="111827"/>
          <w:sz w:val="20"/>
          <w:szCs w:val="20"/>
        </w:rPr>
        <w:t xml:space="preserve">One row per ATRRS course offering. Source: ATRRS.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400"/>
        <w:gridCol w:w="3300"/>
        <w:gridCol w:w="2260"/>
      </w:tblGrid>
      <w:tr>
        <w:trPr>
          <w:tblHeader/>
        </w:trPr>
        <w:tc>
          <w:tcPr>
            <w:tcW w:type="dxa" w:w="15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Field Name</w:t>
            </w:r>
          </w:p>
        </w:tc>
        <w:tc>
          <w:tcPr>
            <w:tcW w:type="dxa" w:w="9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Data Type</w:t>
            </w:r>
          </w:p>
        </w:tc>
        <w:tc>
          <w:tcPr>
            <w:tcW w:type="dxa" w:w="14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Source</w:t>
            </w:r>
          </w:p>
        </w:tc>
        <w:tc>
          <w:tcPr>
            <w:tcW w:type="dxa" w:w="33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c>
          <w:tcPr>
            <w:tcW w:type="dxa" w:w="226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Example</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course_key</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(PK)</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Surrogate key</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8823</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course_code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VARCHAR(20)</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ATRRS</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ATRRS course number</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2E-F34/920-F14</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course_title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VARCHAR(100)</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ATRRS</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Official course title</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Basic Leader Course</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school_code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VARCHAR(10)</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ATRRS</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School or training center code</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971</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school_name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VARCHAR(100)</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ATRRS</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School or training center name</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Noncommissioned Officer Academy</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course_type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VARCHAR(30)</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ATRRS</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Resident / Non-Resident / Online / Distributed Learning</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Resident</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duration_days</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SMALLINT</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ATRRS</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Course length in training days</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22</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phase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VARCHAR(20)</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ATRRS</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Basic / Advanced / Functional / Senior</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Basic</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required_for_mos</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VARCHAR(6)</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ATRRS</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If course is MOS-qualifying, the MOS it qualifies</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25U10</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is_mos_qualifying</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BOOLEAN</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ATRRS</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TRUE if course produces MOS qualification</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TRUE</w:t>
            </w:r>
          </w:p>
        </w:tc>
      </w:tr>
    </w:tbl>
    <w:p/>
    <w:p>
      <w:pPr>
        <w:pStyle w:val="Heading3"/>
      </w:pPr>
      <w:r>
        <w:t xml:space="preserve">Dim_Pay_Entitlement</w:t>
      </w:r>
    </w:p>
    <w:p>
      <w:pPr>
        <w:spacing w:after="140"/>
      </w:pPr>
      <w:r>
        <w:rPr>
          <w:rFonts w:ascii="Arial" w:cs="Arial" w:eastAsia="Arial" w:hAnsi="Arial"/>
          <w:i/>
          <w:iCs/>
          <w:color w:val="111827"/>
          <w:sz w:val="20"/>
          <w:szCs w:val="20"/>
        </w:rPr>
        <w:t xml:space="preserve">One row per pay entitlement type. Source: DJMS-RC.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400"/>
        <w:gridCol w:w="3300"/>
        <w:gridCol w:w="2260"/>
      </w:tblGrid>
      <w:tr>
        <w:trPr>
          <w:tblHeader/>
        </w:trPr>
        <w:tc>
          <w:tcPr>
            <w:tcW w:type="dxa" w:w="15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Field Name</w:t>
            </w:r>
          </w:p>
        </w:tc>
        <w:tc>
          <w:tcPr>
            <w:tcW w:type="dxa" w:w="9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Data Type</w:t>
            </w:r>
          </w:p>
        </w:tc>
        <w:tc>
          <w:tcPr>
            <w:tcW w:type="dxa" w:w="14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Source</w:t>
            </w:r>
          </w:p>
        </w:tc>
        <w:tc>
          <w:tcPr>
            <w:tcW w:type="dxa" w:w="33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c>
          <w:tcPr>
            <w:tcW w:type="dxa" w:w="226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Example</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entitlement_key</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(PK)</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Surrogate key</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112</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entitlement_code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VARCHAR(10)</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DJMS-RC (TBD — may migrate to IPPS-A)</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LES entitlement code</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BAS</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entitlement_name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VARCHAR(50)</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DJMS-RC (TBD — may migrate to IPPS-A)</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Full entitlement name</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Basic Allowance for Subsistence</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entitlement_type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VARCHAR(20)</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DJMS-RC (TBD — may migrate to IPPS-A)</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Base Pay / Allowance / Incentive / Special</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Allowance</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is_taxable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BOOLEAN</w:t>
            </w:r>
          </w:p>
        </w:tc>
        <w:tc>
          <w:tcPr>
            <w:tcW w:type="dxa" w:w="14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DJMS-RC (TBD — may migrate to IPPS-A)</w:t>
            </w:r>
          </w:p>
        </w:tc>
        <w:tc>
          <w:tcPr>
            <w:tcW w:type="dxa" w:w="33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Whether entitlement is taxable</w:t>
            </w:r>
          </w:p>
        </w:tc>
        <w:tc>
          <w:tcPr>
            <w:tcW w:type="dxa" w:w="22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FALSE</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applies_to</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VARCHAR(15)</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DJMS-RC (TBD — may migrate to IPPS-A)</w:t>
            </w:r>
          </w:p>
        </w:tc>
        <w:tc>
          <w:tcPr>
            <w:tcW w:type="dxa" w:w="33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Officer / Enlisted / Both / Warrant</w:t>
            </w:r>
          </w:p>
        </w:tc>
        <w:tc>
          <w:tcPr>
            <w:tcW w:type="dxa" w:w="22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Both</w:t>
            </w:r>
          </w:p>
        </w:tc>
      </w:tr>
    </w:tbl>
    <w:p/>
    <w:p>
      <w:r>
        <w:br w:type="page"/>
      </w:r>
    </w:p>
    <w:p>
      <w:pPr>
        <w:pStyle w:val="Heading2"/>
      </w:pPr>
      <w:r>
        <w:t xml:space="preserve">4.2 Fact Tables</w:t>
      </w:r>
    </w:p>
    <w:p/>
    <w:p>
      <w:pPr>
        <w:pStyle w:val="Heading3"/>
      </w:pPr>
      <w:r>
        <w:t xml:space="preserve">Fact_Personnel_Snapshot</w:t>
      </w:r>
    </w:p>
    <w:p>
      <w:pPr>
        <w:spacing w:after="140"/>
      </w:pPr>
      <w:r>
        <w:rPr>
          <w:rFonts w:ascii="Arial" w:cs="Arial" w:eastAsia="Arial" w:hAnsi="Arial"/>
          <w:i/>
          <w:iCs/>
          <w:color w:val="111827"/>
          <w:sz w:val="20"/>
          <w:szCs w:val="20"/>
        </w:rPr>
        <w:t xml:space="preserve">Daily or monthly snapshot of each soldier's status. The primary table for readiness, strength, and personnel analytics. Source: IPPS-A.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100"/>
        <w:gridCol w:w="1200"/>
        <w:gridCol w:w="4660"/>
      </w:tblGrid>
      <w:tr>
        <w:trPr>
          <w:tblHeader/>
        </w:trPr>
        <w:tc>
          <w:tcPr>
            <w:tcW w:type="dxa" w:w="15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Field Name</w:t>
            </w:r>
          </w:p>
        </w:tc>
        <w:tc>
          <w:tcPr>
            <w:tcW w:type="dxa" w:w="9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Data Type</w:t>
            </w:r>
          </w:p>
        </w:tc>
        <w:tc>
          <w:tcPr>
            <w:tcW w:type="dxa" w:w="11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Grain</w:t>
            </w:r>
          </w:p>
        </w:tc>
        <w:tc>
          <w:tcPr>
            <w:tcW w:type="dxa" w:w="12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FK To</w:t>
            </w:r>
          </w:p>
        </w:tc>
        <w:tc>
          <w:tcPr>
            <w:tcW w:type="dxa" w:w="466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snapshot_key</w:t>
            </w:r>
          </w:p>
        </w:tc>
        <w:tc>
          <w:tcPr>
            <w:tcW w:type="dxa" w:w="9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BIGINT (PK)</w:t>
            </w:r>
          </w:p>
        </w:tc>
        <w:tc>
          <w:tcPr>
            <w:tcW w:type="dxa" w:w="11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One row per soldier per snapshot date</w:t>
            </w:r>
          </w:p>
        </w:tc>
        <w:tc>
          <w:tcPr>
            <w:tcW w:type="dxa" w:w="1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w:t>
            </w:r>
          </w:p>
        </w:tc>
        <w:tc>
          <w:tcPr>
            <w:tcW w:type="dxa" w:w="46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Surrogate key</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snapshot_date_key</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(FK)</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Daily/Monthly</w:t>
            </w:r>
          </w:p>
        </w:tc>
        <w:tc>
          <w:tcPr>
            <w:tcW w:type="dxa" w:w="12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Dim_Date</w:t>
            </w:r>
          </w:p>
        </w:tc>
        <w:tc>
          <w:tcPr>
            <w:tcW w:type="dxa" w:w="46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Date of this snapshot</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soldier_key</w:t>
            </w:r>
          </w:p>
        </w:tc>
        <w:tc>
          <w:tcPr>
            <w:tcW w:type="dxa" w:w="9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(FK)</w:t>
            </w:r>
          </w:p>
        </w:tc>
        <w:tc>
          <w:tcPr>
            <w:tcW w:type="dxa" w:w="11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soldier</w:t>
            </w:r>
          </w:p>
        </w:tc>
        <w:tc>
          <w:tcPr>
            <w:tcW w:type="dxa" w:w="1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Dim_Soldier</w:t>
            </w:r>
          </w:p>
        </w:tc>
        <w:tc>
          <w:tcPr>
            <w:tcW w:type="dxa" w:w="46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Soldier on this date</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unit_key</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(FK)</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soldier</w:t>
            </w:r>
          </w:p>
        </w:tc>
        <w:tc>
          <w:tcPr>
            <w:tcW w:type="dxa" w:w="12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Dim_Unit</w:t>
            </w:r>
          </w:p>
        </w:tc>
        <w:tc>
          <w:tcPr>
            <w:tcW w:type="dxa" w:w="46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Unit assigned on snapshot date</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rank_key</w:t>
            </w:r>
          </w:p>
        </w:tc>
        <w:tc>
          <w:tcPr>
            <w:tcW w:type="dxa" w:w="9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(FK)</w:t>
            </w:r>
          </w:p>
        </w:tc>
        <w:tc>
          <w:tcPr>
            <w:tcW w:type="dxa" w:w="11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soldier</w:t>
            </w:r>
          </w:p>
        </w:tc>
        <w:tc>
          <w:tcPr>
            <w:tcW w:type="dxa" w:w="1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Dim_Rank</w:t>
            </w:r>
          </w:p>
        </w:tc>
        <w:tc>
          <w:tcPr>
            <w:tcW w:type="dxa" w:w="46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Rank held on snapshot date</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mos_key</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(FK)</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soldier</w:t>
            </w:r>
          </w:p>
        </w:tc>
        <w:tc>
          <w:tcPr>
            <w:tcW w:type="dxa" w:w="12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Dim_MOS</w:t>
            </w:r>
          </w:p>
        </w:tc>
        <w:tc>
          <w:tcPr>
            <w:tcW w:type="dxa" w:w="46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Primary MOS on snapshot date</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state_key</w:t>
            </w:r>
          </w:p>
        </w:tc>
        <w:tc>
          <w:tcPr>
            <w:tcW w:type="dxa" w:w="9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(FK)</w:t>
            </w:r>
          </w:p>
        </w:tc>
        <w:tc>
          <w:tcPr>
            <w:tcW w:type="dxa" w:w="11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soldier</w:t>
            </w:r>
          </w:p>
        </w:tc>
        <w:tc>
          <w:tcPr>
            <w:tcW w:type="dxa" w:w="1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Dim_State</w:t>
            </w:r>
          </w:p>
        </w:tc>
        <w:tc>
          <w:tcPr>
            <w:tcW w:type="dxa" w:w="46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Home state on snapshot date</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duty_status</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VARCHAR(20)</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soldier</w:t>
            </w:r>
          </w:p>
        </w:tc>
        <w:tc>
          <w:tcPr>
            <w:tcW w:type="dxa" w:w="12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w:t>
            </w:r>
          </w:p>
        </w:tc>
        <w:tc>
          <w:tcPr>
            <w:tcW w:type="dxa" w:w="46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TPFER, Present, TDY, Deployed, Leave, etc.</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is_deployable</w:t>
            </w:r>
          </w:p>
        </w:tc>
        <w:tc>
          <w:tcPr>
            <w:tcW w:type="dxa" w:w="9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BOOLEAN</w:t>
            </w:r>
          </w:p>
        </w:tc>
        <w:tc>
          <w:tcPr>
            <w:tcW w:type="dxa" w:w="11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soldier</w:t>
            </w:r>
          </w:p>
        </w:tc>
        <w:tc>
          <w:tcPr>
            <w:tcW w:type="dxa" w:w="1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w:t>
            </w:r>
          </w:p>
        </w:tc>
        <w:tc>
          <w:tcPr>
            <w:tcW w:type="dxa" w:w="46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TRUE if soldier is deployable per readiness criteria</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readiness_code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VARCHAR(5)</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soldier</w:t>
            </w:r>
          </w:p>
        </w:tc>
        <w:tc>
          <w:tcPr>
            <w:tcW w:type="dxa" w:w="12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w:t>
            </w:r>
          </w:p>
        </w:tc>
        <w:tc>
          <w:tcPr>
            <w:tcW w:type="dxa" w:w="46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P1/P2/P3 medical; S1/S2/S3 training</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gtl_current</w:t>
            </w:r>
          </w:p>
        </w:tc>
        <w:tc>
          <w:tcPr>
            <w:tcW w:type="dxa" w:w="9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BOOLEAN</w:t>
            </w:r>
          </w:p>
        </w:tc>
        <w:tc>
          <w:tcPr>
            <w:tcW w:type="dxa" w:w="11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soldier</w:t>
            </w:r>
          </w:p>
        </w:tc>
        <w:tc>
          <w:tcPr>
            <w:tcW w:type="dxa" w:w="1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w:t>
            </w:r>
          </w:p>
        </w:tc>
        <w:tc>
          <w:tcPr>
            <w:tcW w:type="dxa" w:w="46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TRUE if Government Travel Card is current</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pt_pass</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BOOLEAN</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soldier</w:t>
            </w:r>
          </w:p>
        </w:tc>
        <w:tc>
          <w:tcPr>
            <w:tcW w:type="dxa" w:w="12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w:t>
            </w:r>
          </w:p>
        </w:tc>
        <w:tc>
          <w:tcPr>
            <w:tcW w:type="dxa" w:w="46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TRUE if ACFT/APFT is current and passing</w:t>
            </w:r>
          </w:p>
        </w:tc>
      </w:tr>
    </w:tbl>
    <w:p/>
    <w:p>
      <w:pPr>
        <w:pStyle w:val="Heading3"/>
      </w:pPr>
      <w:r>
        <w:t xml:space="preserve">Fact_Pay_Transaction</w:t>
      </w:r>
    </w:p>
    <w:p>
      <w:pPr>
        <w:spacing w:after="140"/>
      </w:pPr>
      <w:r>
        <w:rPr>
          <w:rFonts w:ascii="Arial" w:cs="Arial" w:eastAsia="Arial" w:hAnsi="Arial"/>
          <w:i/>
          <w:iCs/>
          <w:color w:val="111827"/>
          <w:sz w:val="20"/>
          <w:szCs w:val="20"/>
        </w:rPr>
        <w:t xml:space="preserve">One row per pay event. Supports pay analytics, funding analysis, and duty-day reporting. Source: DJMS-RC.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100"/>
        <w:gridCol w:w="1200"/>
        <w:gridCol w:w="4660"/>
      </w:tblGrid>
      <w:tr>
        <w:trPr>
          <w:tblHeader/>
        </w:trPr>
        <w:tc>
          <w:tcPr>
            <w:tcW w:type="dxa" w:w="15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Field Name</w:t>
            </w:r>
          </w:p>
        </w:tc>
        <w:tc>
          <w:tcPr>
            <w:tcW w:type="dxa" w:w="9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Data Type</w:t>
            </w:r>
          </w:p>
        </w:tc>
        <w:tc>
          <w:tcPr>
            <w:tcW w:type="dxa" w:w="11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Grain</w:t>
            </w:r>
          </w:p>
        </w:tc>
        <w:tc>
          <w:tcPr>
            <w:tcW w:type="dxa" w:w="12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FK To</w:t>
            </w:r>
          </w:p>
        </w:tc>
        <w:tc>
          <w:tcPr>
            <w:tcW w:type="dxa" w:w="466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pay_transaction_key</w:t>
            </w:r>
          </w:p>
        </w:tc>
        <w:tc>
          <w:tcPr>
            <w:tcW w:type="dxa" w:w="9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BIGINT (PK)</w:t>
            </w:r>
          </w:p>
        </w:tc>
        <w:tc>
          <w:tcPr>
            <w:tcW w:type="dxa" w:w="11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One row per pay event</w:t>
            </w:r>
          </w:p>
        </w:tc>
        <w:tc>
          <w:tcPr>
            <w:tcW w:type="dxa" w:w="1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w:t>
            </w:r>
          </w:p>
        </w:tc>
        <w:tc>
          <w:tcPr>
            <w:tcW w:type="dxa" w:w="46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Surrogate key</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transaction_date_key</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(FK)</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transaction</w:t>
            </w:r>
          </w:p>
        </w:tc>
        <w:tc>
          <w:tcPr>
            <w:tcW w:type="dxa" w:w="12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Dim_Date</w:t>
            </w:r>
          </w:p>
        </w:tc>
        <w:tc>
          <w:tcPr>
            <w:tcW w:type="dxa" w:w="46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Date of pay event</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soldier_key</w:t>
            </w:r>
          </w:p>
        </w:tc>
        <w:tc>
          <w:tcPr>
            <w:tcW w:type="dxa" w:w="9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(FK)</w:t>
            </w:r>
          </w:p>
        </w:tc>
        <w:tc>
          <w:tcPr>
            <w:tcW w:type="dxa" w:w="11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transaction</w:t>
            </w:r>
          </w:p>
        </w:tc>
        <w:tc>
          <w:tcPr>
            <w:tcW w:type="dxa" w:w="1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Dim_Soldier</w:t>
            </w:r>
          </w:p>
        </w:tc>
        <w:tc>
          <w:tcPr>
            <w:tcW w:type="dxa" w:w="46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Soldier receiving pay</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entitlement_key</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(FK)</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transaction</w:t>
            </w:r>
          </w:p>
        </w:tc>
        <w:tc>
          <w:tcPr>
            <w:tcW w:type="dxa" w:w="12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Dim_Pay_Entitlement</w:t>
            </w:r>
          </w:p>
        </w:tc>
        <w:tc>
          <w:tcPr>
            <w:tcW w:type="dxa" w:w="46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Type of pay/entitlement</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state_key</w:t>
            </w:r>
          </w:p>
        </w:tc>
        <w:tc>
          <w:tcPr>
            <w:tcW w:type="dxa" w:w="9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(FK)</w:t>
            </w:r>
          </w:p>
        </w:tc>
        <w:tc>
          <w:tcPr>
            <w:tcW w:type="dxa" w:w="11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transaction</w:t>
            </w:r>
          </w:p>
        </w:tc>
        <w:tc>
          <w:tcPr>
            <w:tcW w:type="dxa" w:w="1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Dim_State</w:t>
            </w:r>
          </w:p>
        </w:tc>
        <w:tc>
          <w:tcPr>
            <w:tcW w:type="dxa" w:w="46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State charged for funding</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amount_dollars</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DECIMAL(12,2)</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transaction</w:t>
            </w:r>
          </w:p>
        </w:tc>
        <w:tc>
          <w:tcPr>
            <w:tcW w:type="dxa" w:w="12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w:t>
            </w:r>
          </w:p>
        </w:tc>
        <w:tc>
          <w:tcPr>
            <w:tcW w:type="dxa" w:w="46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Dollar amount of this pay event</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duty_days</w:t>
            </w:r>
          </w:p>
        </w:tc>
        <w:tc>
          <w:tcPr>
            <w:tcW w:type="dxa" w:w="9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SMALLINT</w:t>
            </w:r>
          </w:p>
        </w:tc>
        <w:tc>
          <w:tcPr>
            <w:tcW w:type="dxa" w:w="11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transaction</w:t>
            </w:r>
          </w:p>
        </w:tc>
        <w:tc>
          <w:tcPr>
            <w:tcW w:type="dxa" w:w="1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w:t>
            </w:r>
          </w:p>
        </w:tc>
        <w:tc>
          <w:tcPr>
            <w:tcW w:type="dxa" w:w="46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Number of duty days associated (IDT/AT)</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fiscal_year</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SMALLINT</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transaction</w:t>
            </w:r>
          </w:p>
        </w:tc>
        <w:tc>
          <w:tcPr>
            <w:tcW w:type="dxa" w:w="12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w:t>
            </w:r>
          </w:p>
        </w:tc>
        <w:tc>
          <w:tcPr>
            <w:tcW w:type="dxa" w:w="46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DoD fiscal year of transaction</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fund_cite</w:t>
            </w:r>
          </w:p>
        </w:tc>
        <w:tc>
          <w:tcPr>
            <w:tcW w:type="dxa" w:w="9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VARCHAR(30)</w:t>
            </w:r>
          </w:p>
        </w:tc>
        <w:tc>
          <w:tcPr>
            <w:tcW w:type="dxa" w:w="11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transaction</w:t>
            </w:r>
          </w:p>
        </w:tc>
        <w:tc>
          <w:tcPr>
            <w:tcW w:type="dxa" w:w="1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w:t>
            </w:r>
          </w:p>
        </w:tc>
        <w:tc>
          <w:tcPr>
            <w:tcW w:type="dxa" w:w="46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Funding citation / appropriation code</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source_system</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VARCHAR(20)</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transaction</w:t>
            </w:r>
          </w:p>
        </w:tc>
        <w:tc>
          <w:tcPr>
            <w:tcW w:type="dxa" w:w="12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w:t>
            </w:r>
          </w:p>
        </w:tc>
        <w:tc>
          <w:tcPr>
            <w:tcW w:type="dxa" w:w="46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DJMS-RC, STANFINS, etc.</w:t>
            </w:r>
          </w:p>
        </w:tc>
      </w:tr>
    </w:tbl>
    <w:p/>
    <w:p>
      <w:pPr>
        <w:pStyle w:val="Heading3"/>
      </w:pPr>
      <w:r>
        <w:t xml:space="preserve">Fact_Training_Completion</w:t>
      </w:r>
    </w:p>
    <w:p>
      <w:pPr>
        <w:spacing w:after="140"/>
      </w:pPr>
      <w:r>
        <w:rPr>
          <w:rFonts w:ascii="Arial" w:cs="Arial" w:eastAsia="Arial" w:hAnsi="Arial"/>
          <w:i/>
          <w:iCs/>
          <w:color w:val="111827"/>
          <w:sz w:val="20"/>
          <w:szCs w:val="20"/>
        </w:rPr>
        <w:t xml:space="preserve">One row per training completion. Supports individual and unit training readiness reporting. Source: ATRRS.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100"/>
        <w:gridCol w:w="1200"/>
        <w:gridCol w:w="4660"/>
      </w:tblGrid>
      <w:tr>
        <w:trPr>
          <w:tblHeader/>
        </w:trPr>
        <w:tc>
          <w:tcPr>
            <w:tcW w:type="dxa" w:w="15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Field Name</w:t>
            </w:r>
          </w:p>
        </w:tc>
        <w:tc>
          <w:tcPr>
            <w:tcW w:type="dxa" w:w="9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Data Type</w:t>
            </w:r>
          </w:p>
        </w:tc>
        <w:tc>
          <w:tcPr>
            <w:tcW w:type="dxa" w:w="11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Grain</w:t>
            </w:r>
          </w:p>
        </w:tc>
        <w:tc>
          <w:tcPr>
            <w:tcW w:type="dxa" w:w="12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FK To</w:t>
            </w:r>
          </w:p>
        </w:tc>
        <w:tc>
          <w:tcPr>
            <w:tcW w:type="dxa" w:w="466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completion_key</w:t>
            </w:r>
          </w:p>
        </w:tc>
        <w:tc>
          <w:tcPr>
            <w:tcW w:type="dxa" w:w="9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BIGINT (PK)</w:t>
            </w:r>
          </w:p>
        </w:tc>
        <w:tc>
          <w:tcPr>
            <w:tcW w:type="dxa" w:w="11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One row per completion</w:t>
            </w:r>
          </w:p>
        </w:tc>
        <w:tc>
          <w:tcPr>
            <w:tcW w:type="dxa" w:w="1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w:t>
            </w:r>
          </w:p>
        </w:tc>
        <w:tc>
          <w:tcPr>
            <w:tcW w:type="dxa" w:w="46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Surrogate key</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completion_date_key</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(FK)</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completion</w:t>
            </w:r>
          </w:p>
        </w:tc>
        <w:tc>
          <w:tcPr>
            <w:tcW w:type="dxa" w:w="12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Dim_Date</w:t>
            </w:r>
          </w:p>
        </w:tc>
        <w:tc>
          <w:tcPr>
            <w:tcW w:type="dxa" w:w="46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Date soldier completed the course</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soldier_key</w:t>
            </w:r>
          </w:p>
        </w:tc>
        <w:tc>
          <w:tcPr>
            <w:tcW w:type="dxa" w:w="9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(FK)</w:t>
            </w:r>
          </w:p>
        </w:tc>
        <w:tc>
          <w:tcPr>
            <w:tcW w:type="dxa" w:w="11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completion</w:t>
            </w:r>
          </w:p>
        </w:tc>
        <w:tc>
          <w:tcPr>
            <w:tcW w:type="dxa" w:w="1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Dim_Soldier</w:t>
            </w:r>
          </w:p>
        </w:tc>
        <w:tc>
          <w:tcPr>
            <w:tcW w:type="dxa" w:w="46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Soldier who completed training</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course_key</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(FK)</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completion</w:t>
            </w:r>
          </w:p>
        </w:tc>
        <w:tc>
          <w:tcPr>
            <w:tcW w:type="dxa" w:w="12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Dim_Training_Course</w:t>
            </w:r>
          </w:p>
        </w:tc>
        <w:tc>
          <w:tcPr>
            <w:tcW w:type="dxa" w:w="46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Course completed</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state_key</w:t>
            </w:r>
          </w:p>
        </w:tc>
        <w:tc>
          <w:tcPr>
            <w:tcW w:type="dxa" w:w="9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(FK)</w:t>
            </w:r>
          </w:p>
        </w:tc>
        <w:tc>
          <w:tcPr>
            <w:tcW w:type="dxa" w:w="11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completion</w:t>
            </w:r>
          </w:p>
        </w:tc>
        <w:tc>
          <w:tcPr>
            <w:tcW w:type="dxa" w:w="1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Dim_State</w:t>
            </w:r>
          </w:p>
        </w:tc>
        <w:tc>
          <w:tcPr>
            <w:tcW w:type="dxa" w:w="46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State the soldier belongs to</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seat_type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VARCHAR(20)</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completion</w:t>
            </w:r>
          </w:p>
        </w:tc>
        <w:tc>
          <w:tcPr>
            <w:tcW w:type="dxa" w:w="12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w:t>
            </w:r>
          </w:p>
        </w:tc>
        <w:tc>
          <w:tcPr>
            <w:tcW w:type="dxa" w:w="46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Active Duty Support / Reserve Component / Online</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score</w:t>
            </w:r>
          </w:p>
        </w:tc>
        <w:tc>
          <w:tcPr>
            <w:tcW w:type="dxa" w:w="9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SMALLINT</w:t>
            </w:r>
          </w:p>
        </w:tc>
        <w:tc>
          <w:tcPr>
            <w:tcW w:type="dxa" w:w="11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completion</w:t>
            </w:r>
          </w:p>
        </w:tc>
        <w:tc>
          <w:tcPr>
            <w:tcW w:type="dxa" w:w="1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w:t>
            </w:r>
          </w:p>
        </w:tc>
        <w:tc>
          <w:tcPr>
            <w:tcW w:type="dxa" w:w="46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Numeric score where applicable (NULL if pass/fail only)</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pass_fail</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VARCHAR(5)</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completion</w:t>
            </w:r>
          </w:p>
        </w:tc>
        <w:tc>
          <w:tcPr>
            <w:tcW w:type="dxa" w:w="12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w:t>
            </w:r>
          </w:p>
        </w:tc>
        <w:tc>
          <w:tcPr>
            <w:tcW w:type="dxa" w:w="46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PASS / FAIL / IN-PROG</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expiration_date_key</w:t>
            </w:r>
          </w:p>
        </w:tc>
        <w:tc>
          <w:tcPr>
            <w:tcW w:type="dxa" w:w="9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(FK)</w:t>
            </w:r>
          </w:p>
        </w:tc>
        <w:tc>
          <w:tcPr>
            <w:tcW w:type="dxa" w:w="11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completion</w:t>
            </w:r>
          </w:p>
        </w:tc>
        <w:tc>
          <w:tcPr>
            <w:tcW w:type="dxa" w:w="1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Dim_Date</w:t>
            </w:r>
          </w:p>
        </w:tc>
        <w:tc>
          <w:tcPr>
            <w:tcW w:type="dxa" w:w="46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Date qualification expires (NULL if no expiry)</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source_system</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VARCHAR(20)</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completion</w:t>
            </w:r>
          </w:p>
        </w:tc>
        <w:tc>
          <w:tcPr>
            <w:tcW w:type="dxa" w:w="12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w:t>
            </w:r>
          </w:p>
        </w:tc>
        <w:tc>
          <w:tcPr>
            <w:tcW w:type="dxa" w:w="46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ATRRS, ATMS, manual entry</w:t>
            </w:r>
          </w:p>
        </w:tc>
      </w:tr>
    </w:tbl>
    <w:p/>
    <w:p>
      <w:pPr>
        <w:pStyle w:val="Heading3"/>
      </w:pPr>
      <w:r>
        <w:t xml:space="preserve">Fact_Forecast_Event</w:t>
      </w:r>
    </w:p>
    <w:p>
      <w:pPr>
        <w:spacing w:after="140"/>
      </w:pPr>
      <w:r>
        <w:rPr>
          <w:rFonts w:ascii="Arial" w:cs="Arial" w:eastAsia="Arial" w:hAnsi="Arial"/>
          <w:i/>
          <w:iCs/>
          <w:color w:val="111827"/>
          <w:sz w:val="20"/>
          <w:szCs w:val="20"/>
        </w:rPr>
        <w:t xml:space="preserve">One row per event from Guardian Nexus, Forecast, or Checkbook. Enables cross-product reporting. Source: Guardian Nexus / Forecast / Checkbook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100"/>
        <w:gridCol w:w="1200"/>
        <w:gridCol w:w="4660"/>
      </w:tblGrid>
      <w:tr>
        <w:trPr>
          <w:tblHeader/>
        </w:trPr>
        <w:tc>
          <w:tcPr>
            <w:tcW w:type="dxa" w:w="15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Field Name</w:t>
            </w:r>
          </w:p>
        </w:tc>
        <w:tc>
          <w:tcPr>
            <w:tcW w:type="dxa" w:w="9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Data Type</w:t>
            </w:r>
          </w:p>
        </w:tc>
        <w:tc>
          <w:tcPr>
            <w:tcW w:type="dxa" w:w="11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Grain</w:t>
            </w:r>
          </w:p>
        </w:tc>
        <w:tc>
          <w:tcPr>
            <w:tcW w:type="dxa" w:w="12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FK To</w:t>
            </w:r>
          </w:p>
        </w:tc>
        <w:tc>
          <w:tcPr>
            <w:tcW w:type="dxa" w:w="466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event_key</w:t>
            </w:r>
          </w:p>
        </w:tc>
        <w:tc>
          <w:tcPr>
            <w:tcW w:type="dxa" w:w="9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BIGINT (PK)</w:t>
            </w:r>
          </w:p>
        </w:tc>
        <w:tc>
          <w:tcPr>
            <w:tcW w:type="dxa" w:w="11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One row per forecast event</w:t>
            </w:r>
          </w:p>
        </w:tc>
        <w:tc>
          <w:tcPr>
            <w:tcW w:type="dxa" w:w="1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w:t>
            </w:r>
          </w:p>
        </w:tc>
        <w:tc>
          <w:tcPr>
            <w:tcW w:type="dxa" w:w="46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Surrogate key</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event_date_key</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(FK)</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event</w:t>
            </w:r>
          </w:p>
        </w:tc>
        <w:tc>
          <w:tcPr>
            <w:tcW w:type="dxa" w:w="12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Dim_Date</w:t>
            </w:r>
          </w:p>
        </w:tc>
        <w:tc>
          <w:tcPr>
            <w:tcW w:type="dxa" w:w="46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Date the event was created/updated</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soldier_key</w:t>
            </w:r>
          </w:p>
        </w:tc>
        <w:tc>
          <w:tcPr>
            <w:tcW w:type="dxa" w:w="9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(FK)</w:t>
            </w:r>
          </w:p>
        </w:tc>
        <w:tc>
          <w:tcPr>
            <w:tcW w:type="dxa" w:w="11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event</w:t>
            </w:r>
          </w:p>
        </w:tc>
        <w:tc>
          <w:tcPr>
            <w:tcW w:type="dxa" w:w="1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Dim_Soldier</w:t>
            </w:r>
          </w:p>
        </w:tc>
        <w:tc>
          <w:tcPr>
            <w:tcW w:type="dxa" w:w="46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Soldier the event pertains to</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state_key</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(FK)</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event</w:t>
            </w:r>
          </w:p>
        </w:tc>
        <w:tc>
          <w:tcPr>
            <w:tcW w:type="dxa" w:w="12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Dim_State</w:t>
            </w:r>
          </w:p>
        </w:tc>
        <w:tc>
          <w:tcPr>
            <w:tcW w:type="dxa" w:w="46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State associated with the event</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unit_key</w:t>
            </w:r>
          </w:p>
        </w:tc>
        <w:tc>
          <w:tcPr>
            <w:tcW w:type="dxa" w:w="9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INT (FK)</w:t>
            </w:r>
          </w:p>
        </w:tc>
        <w:tc>
          <w:tcPr>
            <w:tcW w:type="dxa" w:w="11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event</w:t>
            </w:r>
          </w:p>
        </w:tc>
        <w:tc>
          <w:tcPr>
            <w:tcW w:type="dxa" w:w="1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Dim_Unit</w:t>
            </w:r>
          </w:p>
        </w:tc>
        <w:tc>
          <w:tcPr>
            <w:tcW w:type="dxa" w:w="46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Unit associated with the event</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event_type</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VARCHAR(50)</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event</w:t>
            </w:r>
          </w:p>
        </w:tc>
        <w:tc>
          <w:tcPr>
            <w:tcW w:type="dxa" w:w="12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w:t>
            </w:r>
          </w:p>
        </w:tc>
        <w:tc>
          <w:tcPr>
            <w:tcW w:type="dxa" w:w="46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Type of Forecast event (per Forecast product schema)</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event_status</w:t>
            </w:r>
          </w:p>
        </w:tc>
        <w:tc>
          <w:tcPr>
            <w:tcW w:type="dxa" w:w="9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VARCHAR(20)</w:t>
            </w:r>
          </w:p>
        </w:tc>
        <w:tc>
          <w:tcPr>
            <w:tcW w:type="dxa" w:w="11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event</w:t>
            </w:r>
          </w:p>
        </w:tc>
        <w:tc>
          <w:tcPr>
            <w:tcW w:type="dxa" w:w="1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w:t>
            </w:r>
          </w:p>
        </w:tc>
        <w:tc>
          <w:tcPr>
            <w:tcW w:type="dxa" w:w="46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Open / Closed / Pending / Approved</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source_product</w:t>
            </w:r>
          </w:p>
        </w:tc>
        <w:tc>
          <w:tcPr>
            <w:tcW w:type="dxa" w:w="9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VARCHAR(20)</w:t>
            </w:r>
          </w:p>
        </w:tc>
        <w:tc>
          <w:tcPr>
            <w:tcW w:type="dxa" w:w="11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event</w:t>
            </w:r>
          </w:p>
        </w:tc>
        <w:tc>
          <w:tcPr>
            <w:tcW w:type="dxa" w:w="12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w:t>
            </w:r>
          </w:p>
        </w:tc>
        <w:tc>
          <w:tcPr>
            <w:tcW w:type="dxa" w:w="46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Forecast / Guardian Nexus / Checkbook</w:t>
            </w:r>
          </w:p>
        </w:tc>
      </w:tr>
      <w:tr>
        <w:tc>
          <w:tcPr>
            <w:tcW w:type="dxa" w:w="1500"/>
            <w:shd w:fill="F8F8F8" w:val="clear"/>
            <w:tcMar>
              <w:top w:type="dxa" w:w="80"/>
              <w:left w:type="dxa" w:w="120"/>
              <w:bottom w:type="dxa" w:w="80"/>
              <w:right w:type="dxa" w:w="120"/>
            </w:tcMar>
          </w:tcPr>
          <w:p>
            <w:r>
              <w:rPr>
                <w:rFonts w:ascii="Courier New" w:cs="Courier New" w:eastAsia="Courier New" w:hAnsi="Courier New"/>
                <w:color w:val="1E3A5F"/>
                <w:sz w:val="16"/>
                <w:szCs w:val="16"/>
              </w:rPr>
              <w:t xml:space="preserve">is_resolved</w:t>
            </w:r>
          </w:p>
        </w:tc>
        <w:tc>
          <w:tcPr>
            <w:tcW w:type="dxa" w:w="9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BOOLEAN</w:t>
            </w:r>
          </w:p>
        </w:tc>
        <w:tc>
          <w:tcPr>
            <w:tcW w:type="dxa" w:w="11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Per event</w:t>
            </w:r>
          </w:p>
        </w:tc>
        <w:tc>
          <w:tcPr>
            <w:tcW w:type="dxa" w:w="1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w:t>
            </w:r>
          </w:p>
        </w:tc>
        <w:tc>
          <w:tcPr>
            <w:tcW w:type="dxa" w:w="46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TRUE if event has been closed/resolved</w:t>
            </w:r>
          </w:p>
        </w:tc>
      </w:tr>
    </w:tbl>
    <w:p/>
    <w:p>
      <w:r>
        <w:br w:type="page"/>
      </w:r>
    </w:p>
    <w:p>
      <w:pPr>
        <w:pStyle w:val="Heading1"/>
      </w:pPr>
      <w:r>
        <w:t xml:space="preserve">5. Refresh Cadences</w:t>
      </w:r>
    </w:p>
    <w:p>
      <w:pPr>
        <w:spacing w:after="140"/>
      </w:pPr>
      <w:r>
        <w:rPr>
          <w:rFonts w:ascii="Arial" w:cs="Arial" w:eastAsia="Arial" w:hAnsi="Arial"/>
          <w:color w:val="111827"/>
          <w:sz w:val="20"/>
          <w:szCs w:val="20"/>
        </w:rPr>
        <w:t xml:space="preserve">All refresh schedules are controlled by NGB. States cannot modify refresh timing for NGB-provisioned dataflows.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Table</w:t>
            </w:r>
          </w:p>
        </w:tc>
        <w:tc>
          <w:tcPr>
            <w:tcW w:type="dxa" w:w="16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Cadence</w:t>
            </w:r>
          </w:p>
        </w:tc>
        <w:tc>
          <w:tcPr>
            <w:tcW w:type="dxa" w:w="16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Source</w:t>
            </w:r>
          </w:p>
        </w:tc>
        <w:tc>
          <w:tcPr>
            <w:tcW w:type="dxa" w:w="396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Notes</w:t>
            </w:r>
          </w:p>
        </w:tc>
      </w:tr>
      <w:tr>
        <w:tc>
          <w:tcPr>
            <w:tcW w:type="dxa" w:w="2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Dim_Soldier</w:t>
            </w:r>
          </w:p>
        </w:tc>
        <w:tc>
          <w:tcPr>
            <w:tcW w:type="dxa" w:w="16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Nightly</w:t>
            </w:r>
          </w:p>
        </w:tc>
        <w:tc>
          <w:tcPr>
            <w:tcW w:type="dxa" w:w="16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9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SCD Type 2 — history preserved; new row created on change</w:t>
            </w:r>
          </w:p>
        </w:tc>
      </w:tr>
      <w:tr>
        <w:tc>
          <w:tcPr>
            <w:tcW w:type="dxa" w:w="22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Dim_Unit</w:t>
            </w:r>
          </w:p>
        </w:tc>
        <w:tc>
          <w:tcPr>
            <w:tcW w:type="dxa" w:w="16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Weekly</w:t>
            </w:r>
          </w:p>
        </w:tc>
        <w:tc>
          <w:tcPr>
            <w:tcW w:type="dxa" w:w="16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9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Unit activations and deactivations are infrequent</w:t>
            </w:r>
          </w:p>
        </w:tc>
      </w:tr>
      <w:tr>
        <w:tc>
          <w:tcPr>
            <w:tcW w:type="dxa" w:w="2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Dim_MOS</w:t>
            </w:r>
          </w:p>
        </w:tc>
        <w:tc>
          <w:tcPr>
            <w:tcW w:type="dxa" w:w="16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Monthly</w:t>
            </w:r>
          </w:p>
        </w:tc>
        <w:tc>
          <w:tcPr>
            <w:tcW w:type="dxa" w:w="16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9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MOS catalog changes slowly; monthly is sufficient</w:t>
            </w:r>
          </w:p>
        </w:tc>
      </w:tr>
      <w:tr>
        <w:tc>
          <w:tcPr>
            <w:tcW w:type="dxa" w:w="22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Dim_Rank / State / Date</w:t>
            </w:r>
          </w:p>
        </w:tc>
        <w:tc>
          <w:tcPr>
            <w:tcW w:type="dxa" w:w="16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Static</w:t>
            </w:r>
          </w:p>
        </w:tc>
        <w:tc>
          <w:tcPr>
            <w:tcW w:type="dxa" w:w="16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DaaS</w:t>
            </w:r>
          </w:p>
        </w:tc>
        <w:tc>
          <w:tcPr>
            <w:tcW w:type="dxa" w:w="39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Updated manually when new ranks/states are added</w:t>
            </w:r>
          </w:p>
        </w:tc>
      </w:tr>
      <w:tr>
        <w:tc>
          <w:tcPr>
            <w:tcW w:type="dxa" w:w="2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Dim_Training_Course</w:t>
            </w:r>
          </w:p>
        </w:tc>
        <w:tc>
          <w:tcPr>
            <w:tcW w:type="dxa" w:w="16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Weekly</w:t>
            </w:r>
          </w:p>
        </w:tc>
        <w:tc>
          <w:tcPr>
            <w:tcW w:type="dxa" w:w="16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ATRRS</w:t>
            </w:r>
          </w:p>
        </w:tc>
        <w:tc>
          <w:tcPr>
            <w:tcW w:type="dxa" w:w="39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New courses and course updates synced weekly</w:t>
            </w:r>
          </w:p>
        </w:tc>
      </w:tr>
      <w:tr>
        <w:tc>
          <w:tcPr>
            <w:tcW w:type="dxa" w:w="22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Dim_Pay_Entitlement</w:t>
            </w:r>
          </w:p>
        </w:tc>
        <w:tc>
          <w:tcPr>
            <w:tcW w:type="dxa" w:w="16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Monthly</w:t>
            </w:r>
          </w:p>
        </w:tc>
        <w:tc>
          <w:tcPr>
            <w:tcW w:type="dxa" w:w="16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DJMS-RC (TBD — may migrate to IPPS-A)</w:t>
            </w:r>
          </w:p>
        </w:tc>
        <w:tc>
          <w:tcPr>
            <w:tcW w:type="dxa" w:w="39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Entitlement codes change infrequently</w:t>
            </w:r>
          </w:p>
        </w:tc>
      </w:tr>
      <w:tr>
        <w:tc>
          <w:tcPr>
            <w:tcW w:type="dxa" w:w="2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Fact_Personnel_Snapshot</w:t>
            </w:r>
          </w:p>
        </w:tc>
        <w:tc>
          <w:tcPr>
            <w:tcW w:type="dxa" w:w="16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Nightly</w:t>
            </w:r>
          </w:p>
        </w:tc>
        <w:tc>
          <w:tcPr>
            <w:tcW w:type="dxa" w:w="16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IPPS-A</w:t>
            </w:r>
          </w:p>
        </w:tc>
        <w:tc>
          <w:tcPr>
            <w:tcW w:type="dxa" w:w="39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Daily snapshot — full state captured each run</w:t>
            </w:r>
          </w:p>
        </w:tc>
      </w:tr>
      <w:tr>
        <w:tc>
          <w:tcPr>
            <w:tcW w:type="dxa" w:w="22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Fact_Pay_Transaction</w:t>
            </w:r>
          </w:p>
        </w:tc>
        <w:tc>
          <w:tcPr>
            <w:tcW w:type="dxa" w:w="16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Daily</w:t>
            </w:r>
          </w:p>
        </w:tc>
        <w:tc>
          <w:tcPr>
            <w:tcW w:type="dxa" w:w="16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DJMS-RC (TBD — may migrate to IPPS-A)</w:t>
            </w:r>
          </w:p>
        </w:tc>
        <w:tc>
          <w:tcPr>
            <w:tcW w:type="dxa" w:w="39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Pay events pushed same-day after DJMS-RC batch run</w:t>
            </w:r>
          </w:p>
        </w:tc>
      </w:tr>
      <w:tr>
        <w:tc>
          <w:tcPr>
            <w:tcW w:type="dxa" w:w="22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Fact_Training_Completion</w:t>
            </w:r>
          </w:p>
        </w:tc>
        <w:tc>
          <w:tcPr>
            <w:tcW w:type="dxa" w:w="16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Daily</w:t>
            </w:r>
          </w:p>
        </w:tc>
        <w:tc>
          <w:tcPr>
            <w:tcW w:type="dxa" w:w="160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ATRRS</w:t>
            </w:r>
          </w:p>
        </w:tc>
        <w:tc>
          <w:tcPr>
            <w:tcW w:type="dxa" w:w="3960"/>
            <w:shd w:fill="F9FAFB" w:val="clear"/>
            <w:tcMar>
              <w:top w:type="dxa" w:w="80"/>
              <w:left w:type="dxa" w:w="120"/>
              <w:bottom w:type="dxa" w:w="80"/>
              <w:right w:type="dxa" w:w="120"/>
            </w:tcMar>
          </w:tcPr>
          <w:p>
            <w:r>
              <w:rPr>
                <w:rFonts w:ascii="Arial" w:cs="Arial" w:eastAsia="Arial" w:hAnsi="Arial"/>
                <w:b w:val="false"/>
                <w:bCs w:val="false"/>
                <w:color w:val="111827"/>
                <w:sz w:val="17"/>
                <w:szCs w:val="17"/>
              </w:rPr>
              <w:t xml:space="preserve">Completions logged same-day from ATRRS integration</w:t>
            </w:r>
          </w:p>
        </w:tc>
      </w:tr>
      <w:tr>
        <w:tc>
          <w:tcPr>
            <w:tcW w:type="dxa" w:w="22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Fact_Forecast_Event</w:t>
            </w:r>
          </w:p>
        </w:tc>
        <w:tc>
          <w:tcPr>
            <w:tcW w:type="dxa" w:w="16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Real-time</w:t>
            </w:r>
          </w:p>
        </w:tc>
        <w:tc>
          <w:tcPr>
            <w:tcW w:type="dxa" w:w="160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Forecast/GN</w:t>
            </w:r>
          </w:p>
        </w:tc>
        <w:tc>
          <w:tcPr>
            <w:tcW w:type="dxa" w:w="39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Event stream from Guardian Nexus and Forecast via API</w:t>
            </w:r>
          </w:p>
        </w:tc>
      </w:tr>
    </w:tbl>
    <w:p/>
    <w:p>
      <w:pPr>
        <w:pStyle w:val="Heading1"/>
      </w:pPr>
      <w:r>
        <w:t xml:space="preserve">6. State Dataflow Request Process</w:t>
      </w:r>
    </w:p>
    <w:p>
      <w:pPr>
        <w:spacing w:after="140"/>
      </w:pPr>
      <w:r>
        <w:rPr>
          <w:rFonts w:ascii="Arial" w:cs="Arial" w:eastAsia="Arial" w:hAnsi="Arial"/>
          <w:color w:val="111827"/>
          <w:sz w:val="20"/>
          <w:szCs w:val="20"/>
        </w:rPr>
        <w:t xml:space="preserve">States receive the standard dimension tables (Dim_Rank, Dim_State, Dim_Date, Dim_MOS) automatically during DaaS onboarding. All other tables and dataflows must be requested through the process below.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Step</w:t>
            </w:r>
          </w:p>
        </w:tc>
        <w:tc>
          <w:tcPr>
            <w:tcW w:type="dxa" w:w="14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Action</w:t>
            </w:r>
          </w:p>
        </w:tc>
        <w:tc>
          <w:tcPr>
            <w:tcW w:type="dxa" w:w="616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Detail</w:t>
            </w:r>
          </w:p>
        </w:tc>
      </w:tr>
      <w:tr>
        <w:tc>
          <w:tcPr>
            <w:tcW w:type="dxa" w:w="1800"/>
            <w:shd w:fill="FEF3C7" w:val="clear"/>
            <w:tcMar>
              <w:top w:type="dxa" w:w="80"/>
              <w:left w:type="dxa" w:w="120"/>
              <w:bottom w:type="dxa" w:w="80"/>
              <w:right w:type="dxa" w:w="120"/>
            </w:tcMar>
          </w:tcPr>
          <w:p>
            <w:r>
              <w:rPr>
                <w:rFonts w:ascii="Arial" w:cs="Arial" w:eastAsia="Arial" w:hAnsi="Arial"/>
                <w:b/>
                <w:bCs/>
                <w:color w:val="1E3A5F"/>
                <w:sz w:val="17"/>
                <w:szCs w:val="17"/>
              </w:rPr>
              <w:t xml:space="preserve">Step 1</w:t>
            </w:r>
          </w:p>
        </w:tc>
        <w:tc>
          <w:tcPr>
            <w:tcW w:type="dxa" w:w="1400"/>
            <w:shd w:fill="FEF3C7" w:val="clear"/>
            <w:tcMar>
              <w:top w:type="dxa" w:w="80"/>
              <w:left w:type="dxa" w:w="120"/>
              <w:bottom w:type="dxa" w:w="80"/>
              <w:right w:type="dxa" w:w="120"/>
            </w:tcMar>
          </w:tcPr>
          <w:p>
            <w:r>
              <w:rPr>
                <w:rFonts w:ascii="Arial" w:cs="Arial" w:eastAsia="Arial" w:hAnsi="Arial"/>
                <w:b/>
                <w:bCs/>
                <w:color w:val="111827"/>
                <w:sz w:val="17"/>
                <w:szCs w:val="17"/>
              </w:rPr>
              <w:t xml:space="preserve">Identify Need</w:t>
            </w:r>
          </w:p>
        </w:tc>
        <w:tc>
          <w:tcPr>
            <w:tcW w:type="dxa" w:w="61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State Data Steward identifies a reporting or app need that requires NGB data. They confirm the need cannot be met with data the state already has.</w:t>
            </w:r>
          </w:p>
        </w:tc>
      </w:tr>
      <w:tr>
        <w:tc>
          <w:tcPr>
            <w:tcW w:type="dxa" w:w="1800"/>
            <w:shd w:fill="FEF3C7" w:val="clear"/>
            <w:tcMar>
              <w:top w:type="dxa" w:w="80"/>
              <w:left w:type="dxa" w:w="120"/>
              <w:bottom w:type="dxa" w:w="80"/>
              <w:right w:type="dxa" w:w="120"/>
            </w:tcMar>
          </w:tcPr>
          <w:p>
            <w:r>
              <w:rPr>
                <w:rFonts w:ascii="Arial" w:cs="Arial" w:eastAsia="Arial" w:hAnsi="Arial"/>
                <w:b/>
                <w:bCs/>
                <w:color w:val="1E3A5F"/>
                <w:sz w:val="17"/>
                <w:szCs w:val="17"/>
              </w:rPr>
              <w:t xml:space="preserve">Step 2</w:t>
            </w:r>
          </w:p>
        </w:tc>
        <w:tc>
          <w:tcPr>
            <w:tcW w:type="dxa" w:w="1400"/>
            <w:shd w:fill="FEF3C7" w:val="clear"/>
            <w:tcMar>
              <w:top w:type="dxa" w:w="80"/>
              <w:left w:type="dxa" w:w="120"/>
              <w:bottom w:type="dxa" w:w="80"/>
              <w:right w:type="dxa" w:w="120"/>
            </w:tcMar>
          </w:tcPr>
          <w:p>
            <w:r>
              <w:rPr>
                <w:rFonts w:ascii="Arial" w:cs="Arial" w:eastAsia="Arial" w:hAnsi="Arial"/>
                <w:b/>
                <w:bCs/>
                <w:color w:val="111827"/>
                <w:sz w:val="17"/>
                <w:szCs w:val="17"/>
              </w:rPr>
              <w:t xml:space="preserve">Submit Request</w:t>
            </w:r>
          </w:p>
        </w:tc>
        <w:tc>
          <w:tcPr>
            <w:tcW w:type="dxa" w:w="61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State Data Steward submits a Dataflow Request via the NGB Support Portal. Required fields: table name(s), fields needed, intended use case, refresh cadence needed, target Power Platform environment (Dev/Test/Prod), data sensitivity requirements.</w:t>
            </w:r>
          </w:p>
        </w:tc>
      </w:tr>
      <w:tr>
        <w:tc>
          <w:tcPr>
            <w:tcW w:type="dxa" w:w="1800"/>
            <w:shd w:fill="FEF3C7" w:val="clear"/>
            <w:tcMar>
              <w:top w:type="dxa" w:w="80"/>
              <w:left w:type="dxa" w:w="120"/>
              <w:bottom w:type="dxa" w:w="80"/>
              <w:right w:type="dxa" w:w="120"/>
            </w:tcMar>
          </w:tcPr>
          <w:p>
            <w:r>
              <w:rPr>
                <w:rFonts w:ascii="Arial" w:cs="Arial" w:eastAsia="Arial" w:hAnsi="Arial"/>
                <w:b/>
                <w:bCs/>
                <w:color w:val="1E3A5F"/>
                <w:sz w:val="17"/>
                <w:szCs w:val="17"/>
              </w:rPr>
              <w:t xml:space="preserve">Step 3</w:t>
            </w:r>
          </w:p>
        </w:tc>
        <w:tc>
          <w:tcPr>
            <w:tcW w:type="dxa" w:w="1400"/>
            <w:shd w:fill="FEF3C7" w:val="clear"/>
            <w:tcMar>
              <w:top w:type="dxa" w:w="80"/>
              <w:left w:type="dxa" w:w="120"/>
              <w:bottom w:type="dxa" w:w="80"/>
              <w:right w:type="dxa" w:w="120"/>
            </w:tcMar>
          </w:tcPr>
          <w:p>
            <w:r>
              <w:rPr>
                <w:rFonts w:ascii="Arial" w:cs="Arial" w:eastAsia="Arial" w:hAnsi="Arial"/>
                <w:b/>
                <w:bCs/>
                <w:color w:val="111827"/>
                <w:sz w:val="17"/>
                <w:szCs w:val="17"/>
              </w:rPr>
              <w:t xml:space="preserve">NGB Review</w:t>
            </w:r>
          </w:p>
        </w:tc>
        <w:tc>
          <w:tcPr>
            <w:tcW w:type="dxa" w:w="61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Data Engineering team reviews within 5 business days. They confirm: the table exists in the catalog, the requested fields are approved for state access, and the use case is aligned with DaaS governance policy.</w:t>
            </w:r>
          </w:p>
        </w:tc>
      </w:tr>
      <w:tr>
        <w:tc>
          <w:tcPr>
            <w:tcW w:type="dxa" w:w="1800"/>
            <w:shd w:fill="FEF3C7" w:val="clear"/>
            <w:tcMar>
              <w:top w:type="dxa" w:w="80"/>
              <w:left w:type="dxa" w:w="120"/>
              <w:bottom w:type="dxa" w:w="80"/>
              <w:right w:type="dxa" w:w="120"/>
            </w:tcMar>
          </w:tcPr>
          <w:p>
            <w:r>
              <w:rPr>
                <w:rFonts w:ascii="Arial" w:cs="Arial" w:eastAsia="Arial" w:hAnsi="Arial"/>
                <w:b/>
                <w:bCs/>
                <w:color w:val="1E3A5F"/>
                <w:sz w:val="17"/>
                <w:szCs w:val="17"/>
              </w:rPr>
              <w:t xml:space="preserve">Step 4</w:t>
            </w:r>
          </w:p>
        </w:tc>
        <w:tc>
          <w:tcPr>
            <w:tcW w:type="dxa" w:w="1400"/>
            <w:shd w:fill="FEF3C7" w:val="clear"/>
            <w:tcMar>
              <w:top w:type="dxa" w:w="80"/>
              <w:left w:type="dxa" w:w="120"/>
              <w:bottom w:type="dxa" w:w="80"/>
              <w:right w:type="dxa" w:w="120"/>
            </w:tcMar>
          </w:tcPr>
          <w:p>
            <w:r>
              <w:rPr>
                <w:rFonts w:ascii="Arial" w:cs="Arial" w:eastAsia="Arial" w:hAnsi="Arial"/>
                <w:b/>
                <w:bCs/>
                <w:color w:val="111827"/>
                <w:sz w:val="17"/>
                <w:szCs w:val="17"/>
              </w:rPr>
              <w:t xml:space="preserve">Data Gov Approval</w:t>
            </w:r>
          </w:p>
        </w:tc>
        <w:tc>
          <w:tcPr>
            <w:tcW w:type="dxa" w:w="61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For any request involving PII fields (e.g., full name, EDIPI, SSN fragments), the NGB Data Governance board must approve. Standard non-PII requests skip this step.</w:t>
            </w:r>
          </w:p>
        </w:tc>
      </w:tr>
      <w:tr>
        <w:tc>
          <w:tcPr>
            <w:tcW w:type="dxa" w:w="1800"/>
            <w:shd w:fill="FEF3C7" w:val="clear"/>
            <w:tcMar>
              <w:top w:type="dxa" w:w="80"/>
              <w:left w:type="dxa" w:w="120"/>
              <w:bottom w:type="dxa" w:w="80"/>
              <w:right w:type="dxa" w:w="120"/>
            </w:tcMar>
          </w:tcPr>
          <w:p>
            <w:r>
              <w:rPr>
                <w:rFonts w:ascii="Arial" w:cs="Arial" w:eastAsia="Arial" w:hAnsi="Arial"/>
                <w:b/>
                <w:bCs/>
                <w:color w:val="1E3A5F"/>
                <w:sz w:val="17"/>
                <w:szCs w:val="17"/>
              </w:rPr>
              <w:t xml:space="preserve">Step 5</w:t>
            </w:r>
          </w:p>
        </w:tc>
        <w:tc>
          <w:tcPr>
            <w:tcW w:type="dxa" w:w="1400"/>
            <w:shd w:fill="FEF3C7" w:val="clear"/>
            <w:tcMar>
              <w:top w:type="dxa" w:w="80"/>
              <w:left w:type="dxa" w:w="120"/>
              <w:bottom w:type="dxa" w:w="80"/>
              <w:right w:type="dxa" w:w="120"/>
            </w:tcMar>
          </w:tcPr>
          <w:p>
            <w:r>
              <w:rPr>
                <w:rFonts w:ascii="Arial" w:cs="Arial" w:eastAsia="Arial" w:hAnsi="Arial"/>
                <w:b/>
                <w:bCs/>
                <w:color w:val="111827"/>
                <w:sz w:val="17"/>
                <w:szCs w:val="17"/>
              </w:rPr>
              <w:t xml:space="preserve">Provisioning</w:t>
            </w:r>
          </w:p>
        </w:tc>
        <w:tc>
          <w:tcPr>
            <w:tcW w:type="dxa" w:w="61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NGB provisions the dataflow into the state's designated Power Platform environment. This typically takes 3–5 business days after approval. State is notified via email and ticket update.</w:t>
            </w:r>
          </w:p>
        </w:tc>
      </w:tr>
      <w:tr>
        <w:tc>
          <w:tcPr>
            <w:tcW w:type="dxa" w:w="1800"/>
            <w:shd w:fill="FEF3C7" w:val="clear"/>
            <w:tcMar>
              <w:top w:type="dxa" w:w="80"/>
              <w:left w:type="dxa" w:w="120"/>
              <w:bottom w:type="dxa" w:w="80"/>
              <w:right w:type="dxa" w:w="120"/>
            </w:tcMar>
          </w:tcPr>
          <w:p>
            <w:r>
              <w:rPr>
                <w:rFonts w:ascii="Arial" w:cs="Arial" w:eastAsia="Arial" w:hAnsi="Arial"/>
                <w:b/>
                <w:bCs/>
                <w:color w:val="1E3A5F"/>
                <w:sz w:val="17"/>
                <w:szCs w:val="17"/>
              </w:rPr>
              <w:t xml:space="preserve">Step 6</w:t>
            </w:r>
          </w:p>
        </w:tc>
        <w:tc>
          <w:tcPr>
            <w:tcW w:type="dxa" w:w="1400"/>
            <w:shd w:fill="FEF3C7" w:val="clear"/>
            <w:tcMar>
              <w:top w:type="dxa" w:w="80"/>
              <w:left w:type="dxa" w:w="120"/>
              <w:bottom w:type="dxa" w:w="80"/>
              <w:right w:type="dxa" w:w="120"/>
            </w:tcMar>
          </w:tcPr>
          <w:p>
            <w:r>
              <w:rPr>
                <w:rFonts w:ascii="Arial" w:cs="Arial" w:eastAsia="Arial" w:hAnsi="Arial"/>
                <w:b/>
                <w:bCs/>
                <w:color w:val="111827"/>
                <w:sz w:val="17"/>
                <w:szCs w:val="17"/>
              </w:rPr>
              <w:t xml:space="preserve">State Acceptance</w:t>
            </w:r>
          </w:p>
        </w:tc>
        <w:tc>
          <w:tcPr>
            <w:tcW w:type="dxa" w:w="61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State Data Steward validates the dataflow is running, data looks correct, and connects it to their app or report. Any data quality issues are raised back to NGB within 10 business days.</w:t>
            </w:r>
          </w:p>
        </w:tc>
      </w:tr>
      <w:tr>
        <w:tc>
          <w:tcPr>
            <w:tcW w:type="dxa" w:w="1800"/>
            <w:shd w:fill="FEF3C7" w:val="clear"/>
            <w:tcMar>
              <w:top w:type="dxa" w:w="80"/>
              <w:left w:type="dxa" w:w="120"/>
              <w:bottom w:type="dxa" w:w="80"/>
              <w:right w:type="dxa" w:w="120"/>
            </w:tcMar>
          </w:tcPr>
          <w:p>
            <w:r>
              <w:rPr>
                <w:rFonts w:ascii="Arial" w:cs="Arial" w:eastAsia="Arial" w:hAnsi="Arial"/>
                <w:b/>
                <w:bCs/>
                <w:color w:val="1E3A5F"/>
                <w:sz w:val="17"/>
                <w:szCs w:val="17"/>
              </w:rPr>
              <w:t xml:space="preserve">Step 7</w:t>
            </w:r>
          </w:p>
        </w:tc>
        <w:tc>
          <w:tcPr>
            <w:tcW w:type="dxa" w:w="1400"/>
            <w:shd w:fill="FEF3C7" w:val="clear"/>
            <w:tcMar>
              <w:top w:type="dxa" w:w="80"/>
              <w:left w:type="dxa" w:w="120"/>
              <w:bottom w:type="dxa" w:w="80"/>
              <w:right w:type="dxa" w:w="120"/>
            </w:tcMar>
          </w:tcPr>
          <w:p>
            <w:r>
              <w:rPr>
                <w:rFonts w:ascii="Arial" w:cs="Arial" w:eastAsia="Arial" w:hAnsi="Arial"/>
                <w:b/>
                <w:bCs/>
                <w:color w:val="111827"/>
                <w:sz w:val="17"/>
                <w:szCs w:val="17"/>
              </w:rPr>
              <w:t xml:space="preserve">Ongoing Support</w:t>
            </w:r>
          </w:p>
        </w:tc>
        <w:tc>
          <w:tcPr>
            <w:tcW w:type="dxa" w:w="6160"/>
            <w:shd w:fill="FFFFFF" w:val="clear"/>
            <w:tcMar>
              <w:top w:type="dxa" w:w="80"/>
              <w:left w:type="dxa" w:w="120"/>
              <w:bottom w:type="dxa" w:w="80"/>
              <w:right w:type="dxa" w:w="120"/>
            </w:tcMar>
          </w:tcPr>
          <w:p>
            <w:r>
              <w:rPr>
                <w:rFonts w:ascii="Arial" w:cs="Arial" w:eastAsia="Arial" w:hAnsi="Arial"/>
                <w:b w:val="false"/>
                <w:bCs w:val="false"/>
                <w:color w:val="111827"/>
                <w:sz w:val="17"/>
                <w:szCs w:val="17"/>
              </w:rPr>
              <w:t xml:space="preserve">Dataflow is now active and supported under the standard DaaS SLA. Changes to fields or cadence require a new request or a Change Request (CR) against the existing dataflow.</w:t>
            </w:r>
          </w:p>
        </w:tc>
      </w:tr>
    </w:tbl>
    <w:p/>
    <w:p>
      <w:pPr>
        <w:pStyle w:val="Heading2"/>
      </w:pPr>
      <w:r>
        <w:t xml:space="preserve">6.1 Standard Onboarding Package</w:t>
      </w:r>
    </w:p>
    <w:p>
      <w:pPr>
        <w:spacing w:after="140"/>
      </w:pPr>
      <w:r>
        <w:rPr>
          <w:rFonts w:ascii="Arial" w:cs="Arial" w:eastAsia="Arial" w:hAnsi="Arial"/>
          <w:color w:val="111827"/>
          <w:sz w:val="20"/>
          <w:szCs w:val="20"/>
        </w:rPr>
        <w:t xml:space="preserve">Every state that completes DaaS onboarding automatically receives the following in their Production Dataverse environment:</w:t>
      </w:r>
    </w:p>
    <w:p>
      <w:pPr>
        <w:pStyle w:val="ListParagraph"/>
        <w:numPr>
          <w:ilvl w:val="0"/>
          <w:numId w:val="2"/>
        </w:numPr>
        <w:spacing w:after="80"/>
      </w:pPr>
      <w:r>
        <w:rPr>
          <w:rFonts w:ascii="Arial" w:cs="Arial" w:eastAsia="Arial" w:hAnsi="Arial"/>
          <w:color w:val="111827"/>
          <w:sz w:val="19"/>
          <w:szCs w:val="19"/>
        </w:rPr>
        <w:t xml:space="preserve">Dim_Rank (full table — static)</w:t>
      </w:r>
    </w:p>
    <w:p>
      <w:pPr>
        <w:pStyle w:val="ListParagraph"/>
        <w:numPr>
          <w:ilvl w:val="0"/>
          <w:numId w:val="2"/>
        </w:numPr>
        <w:spacing w:after="80"/>
      </w:pPr>
      <w:r>
        <w:rPr>
          <w:rFonts w:ascii="Arial" w:cs="Arial" w:eastAsia="Arial" w:hAnsi="Arial"/>
          <w:color w:val="111827"/>
          <w:sz w:val="19"/>
          <w:szCs w:val="19"/>
        </w:rPr>
        <w:t xml:space="preserve">Dim_State (full table — 54 rows)</w:t>
      </w:r>
    </w:p>
    <w:p>
      <w:pPr>
        <w:pStyle w:val="ListParagraph"/>
        <w:numPr>
          <w:ilvl w:val="0"/>
          <w:numId w:val="2"/>
        </w:numPr>
        <w:spacing w:after="80"/>
      </w:pPr>
      <w:r>
        <w:rPr>
          <w:rFonts w:ascii="Arial" w:cs="Arial" w:eastAsia="Arial" w:hAnsi="Arial"/>
          <w:color w:val="111827"/>
          <w:sz w:val="19"/>
          <w:szCs w:val="19"/>
        </w:rPr>
        <w:t xml:space="preserve">Dim_Date (10 years back, 5 years forward)</w:t>
      </w:r>
    </w:p>
    <w:p>
      <w:pPr>
        <w:pStyle w:val="ListParagraph"/>
        <w:numPr>
          <w:ilvl w:val="0"/>
          <w:numId w:val="2"/>
        </w:numPr>
        <w:spacing w:after="80"/>
      </w:pPr>
      <w:r>
        <w:rPr>
          <w:rFonts w:ascii="Arial" w:cs="Arial" w:eastAsia="Arial" w:hAnsi="Arial"/>
          <w:color w:val="111827"/>
          <w:sz w:val="19"/>
          <w:szCs w:val="19"/>
        </w:rPr>
        <w:t xml:space="preserve">Dim_MOS (full catalog — monthly refresh)</w:t>
      </w:r>
    </w:p>
    <w:p>
      <w:pPr>
        <w:pStyle w:val="ListParagraph"/>
        <w:numPr>
          <w:ilvl w:val="0"/>
          <w:numId w:val="2"/>
        </w:numPr>
        <w:spacing w:after="80"/>
      </w:pPr>
      <w:r>
        <w:rPr>
          <w:rFonts w:ascii="Arial" w:cs="Arial" w:eastAsia="Arial" w:hAnsi="Arial"/>
          <w:color w:val="111827"/>
          <w:sz w:val="19"/>
          <w:szCs w:val="19"/>
        </w:rPr>
        <w:t xml:space="preserve">Dim_Soldier (scoped to that state's soldiers only — nightly SCD2 refresh)</w:t>
      </w:r>
    </w:p>
    <w:p>
      <w:pPr>
        <w:pStyle w:val="ListParagraph"/>
        <w:numPr>
          <w:ilvl w:val="0"/>
          <w:numId w:val="2"/>
        </w:numPr>
        <w:spacing w:after="80"/>
      </w:pPr>
      <w:r>
        <w:rPr>
          <w:rFonts w:ascii="Arial" w:cs="Arial" w:eastAsia="Arial" w:hAnsi="Arial"/>
          <w:color w:val="111827"/>
          <w:sz w:val="19"/>
          <w:szCs w:val="19"/>
        </w:rPr>
        <w:t xml:space="preserve">Dim_Unit (scoped to that state's units — weekly refresh)</w:t>
      </w:r>
    </w:p>
    <w:p/>
    <w:p>
      <w:pPr>
        <w:spacing w:after="140"/>
      </w:pPr>
      <w:r>
        <w:rPr>
          <w:rFonts w:ascii="Arial" w:cs="Arial" w:eastAsia="Arial" w:hAnsi="Arial"/>
          <w:color w:val="111827"/>
          <w:sz w:val="20"/>
          <w:szCs w:val="20"/>
        </w:rPr>
        <w:t xml:space="preserve">All other fact tables and dataflows are opt-in via the request process above.</w:t>
      </w:r>
    </w:p>
    <w:p/>
    <w:p>
      <w:pPr>
        <w:pStyle w:val="Heading2"/>
      </w:pPr>
      <w:r>
        <w:t xml:space="preserve">6.2 PII &amp; Data Access Rules</w:t>
      </w:r>
    </w:p>
    <w:p>
      <w:pPr>
        <w:pStyle w:val="ListParagraph"/>
        <w:numPr>
          <w:ilvl w:val="0"/>
          <w:numId w:val="2"/>
        </w:numPr>
        <w:spacing w:after="80"/>
      </w:pPr>
      <w:r>
        <w:rPr>
          <w:rFonts w:ascii="Arial" w:cs="Arial" w:eastAsia="Arial" w:hAnsi="Arial"/>
          <w:color w:val="111827"/>
          <w:sz w:val="19"/>
          <w:szCs w:val="19"/>
        </w:rPr>
        <w:t xml:space="preserve">Fields containing full name, EDIPI, SSN fragments, or medical data require Data Governance approval and a signed Data Use Agreement (DUA).</w:t>
      </w:r>
    </w:p>
    <w:p>
      <w:pPr>
        <w:pStyle w:val="ListParagraph"/>
        <w:numPr>
          <w:ilvl w:val="0"/>
          <w:numId w:val="2"/>
        </w:numPr>
        <w:spacing w:after="80"/>
      </w:pPr>
      <w:r>
        <w:rPr>
          <w:rFonts w:ascii="Arial" w:cs="Arial" w:eastAsia="Arial" w:hAnsi="Arial"/>
          <w:color w:val="111827"/>
          <w:sz w:val="19"/>
          <w:szCs w:val="19"/>
        </w:rPr>
        <w:t xml:space="preserve">States only receive data scoped to their own soldiers and units. Cross-state queries are not permitted at the state level.</w:t>
      </w:r>
    </w:p>
    <w:p>
      <w:pPr>
        <w:pStyle w:val="ListParagraph"/>
        <w:numPr>
          <w:ilvl w:val="0"/>
          <w:numId w:val="2"/>
        </w:numPr>
        <w:spacing w:after="80"/>
      </w:pPr>
      <w:r>
        <w:rPr>
          <w:rFonts w:ascii="Arial" w:cs="Arial" w:eastAsia="Arial" w:hAnsi="Arial"/>
          <w:color w:val="111827"/>
          <w:sz w:val="19"/>
          <w:szCs w:val="19"/>
        </w:rPr>
        <w:t xml:space="preserve">Aggregate/anonymized data for benchmarking (e.g., MOS fill rates across all 54 states) is available from NGB on request and does not require a DUA.</w:t>
      </w:r>
    </w:p>
    <w:p>
      <w:pPr>
        <w:pStyle w:val="ListParagraph"/>
        <w:numPr>
          <w:ilvl w:val="0"/>
          <w:numId w:val="2"/>
        </w:numPr>
        <w:spacing w:after="80"/>
      </w:pPr>
      <w:r>
        <w:rPr>
          <w:rFonts w:ascii="Arial" w:cs="Arial" w:eastAsia="Arial" w:hAnsi="Arial"/>
          <w:color w:val="111827"/>
          <w:sz w:val="19"/>
          <w:szCs w:val="19"/>
        </w:rPr>
        <w:t xml:space="preserve">All state Power Platform environments must have Data Loss Prevention (DLP) policies enforced before DaaS onboarding is approved.</w:t>
      </w:r>
    </w:p>
    <w:p/>
    <w:p>
      <w:pPr>
        <w:pStyle w:val="Heading1"/>
      </w:pPr>
      <w:r>
        <w:t xml:space="preserve">7. Data Governance</w:t>
      </w:r>
    </w:p>
    <w:p>
      <w:pPr>
        <w:pStyle w:val="Heading2"/>
      </w:pPr>
      <w:r>
        <w:t xml:space="preserve">7.1 Ownership</w:t>
      </w:r>
    </w:p>
    <w:p>
      <w:pPr>
        <w:pStyle w:val="ListParagraph"/>
        <w:numPr>
          <w:ilvl w:val="0"/>
          <w:numId w:val="2"/>
        </w:numPr>
        <w:spacing w:after="80"/>
      </w:pPr>
      <w:r>
        <w:rPr>
          <w:rFonts w:ascii="Arial" w:cs="Arial" w:eastAsia="Arial" w:hAnsi="Arial"/>
          <w:color w:val="111827"/>
          <w:sz w:val="19"/>
          <w:szCs w:val="19"/>
        </w:rPr>
        <w:t xml:space="preserve">NGB owns the DaaS layer, the dimensional model, the canonical tables, and the refresh pipelines.</w:t>
      </w:r>
    </w:p>
    <w:p>
      <w:pPr>
        <w:pStyle w:val="ListParagraph"/>
        <w:numPr>
          <w:ilvl w:val="0"/>
          <w:numId w:val="2"/>
        </w:numPr>
        <w:spacing w:after="80"/>
      </w:pPr>
      <w:r>
        <w:rPr>
          <w:rFonts w:ascii="Arial" w:cs="Arial" w:eastAsia="Arial" w:hAnsi="Arial"/>
          <w:color w:val="111827"/>
          <w:sz w:val="19"/>
          <w:szCs w:val="19"/>
        </w:rPr>
        <w:t xml:space="preserve">States own their use of the data — the apps, reports, and automations built on top of DaaS.</w:t>
      </w:r>
    </w:p>
    <w:p>
      <w:pPr>
        <w:pStyle w:val="ListParagraph"/>
        <w:numPr>
          <w:ilvl w:val="0"/>
          <w:numId w:val="2"/>
        </w:numPr>
        <w:spacing w:after="80"/>
      </w:pPr>
      <w:r>
        <w:rPr>
          <w:rFonts w:ascii="Arial" w:cs="Arial" w:eastAsia="Arial" w:hAnsi="Arial"/>
          <w:color w:val="111827"/>
          <w:sz w:val="19"/>
          <w:szCs w:val="19"/>
        </w:rPr>
        <w:t xml:space="preserve">Source system owners (SIDPERS program office, DJMS-RC, ATRRS) remain the authoritative owners of their data. NGB is the integration layer, not the source of truth.</w:t>
      </w:r>
    </w:p>
    <w:p/>
    <w:p>
      <w:pPr>
        <w:pStyle w:val="Heading2"/>
      </w:pPr>
      <w:r>
        <w:t xml:space="preserve">7.2 Change Management</w:t>
      </w:r>
    </w:p>
    <w:p>
      <w:pPr>
        <w:pStyle w:val="ListParagraph"/>
        <w:numPr>
          <w:ilvl w:val="0"/>
          <w:numId w:val="2"/>
        </w:numPr>
        <w:spacing w:after="80"/>
      </w:pPr>
      <w:r>
        <w:rPr>
          <w:rFonts w:ascii="Arial" w:cs="Arial" w:eastAsia="Arial" w:hAnsi="Arial"/>
          <w:color w:val="111827"/>
          <w:sz w:val="19"/>
          <w:szCs w:val="19"/>
        </w:rPr>
        <w:t xml:space="preserve">Any change to an existing table's schema (adding/removing/renaming fields) requires a 30-day notice to all affected states.</w:t>
      </w:r>
    </w:p>
    <w:p>
      <w:pPr>
        <w:pStyle w:val="ListParagraph"/>
        <w:numPr>
          <w:ilvl w:val="0"/>
          <w:numId w:val="2"/>
        </w:numPr>
        <w:spacing w:after="80"/>
      </w:pPr>
      <w:r>
        <w:rPr>
          <w:rFonts w:ascii="Arial" w:cs="Arial" w:eastAsia="Arial" w:hAnsi="Arial"/>
          <w:color w:val="111827"/>
          <w:sz w:val="19"/>
          <w:szCs w:val="19"/>
        </w:rPr>
        <w:t xml:space="preserve">New tables or dataflows do not require advance notice.</w:t>
      </w:r>
    </w:p>
    <w:p>
      <w:pPr>
        <w:pStyle w:val="ListParagraph"/>
        <w:numPr>
          <w:ilvl w:val="0"/>
          <w:numId w:val="2"/>
        </w:numPr>
        <w:spacing w:after="80"/>
      </w:pPr>
      <w:r>
        <w:rPr>
          <w:rFonts w:ascii="Arial" w:cs="Arial" w:eastAsia="Arial" w:hAnsi="Arial"/>
          <w:color w:val="111827"/>
          <w:sz w:val="19"/>
          <w:szCs w:val="19"/>
        </w:rPr>
        <w:t xml:space="preserve">Deprecation of any table requires 90-day notice and a migration path.</w:t>
      </w:r>
    </w:p>
    <w:p/>
    <w:p>
      <w:pPr>
        <w:pStyle w:val="Heading2"/>
      </w:pPr>
      <w:r>
        <w:t xml:space="preserve">7.3 Data Quality</w:t>
      </w:r>
    </w:p>
    <w:p>
      <w:pPr>
        <w:pStyle w:val="ListParagraph"/>
        <w:numPr>
          <w:ilvl w:val="0"/>
          <w:numId w:val="2"/>
        </w:numPr>
        <w:spacing w:after="80"/>
      </w:pPr>
      <w:r>
        <w:rPr>
          <w:rFonts w:ascii="Arial" w:cs="Arial" w:eastAsia="Arial" w:hAnsi="Arial"/>
          <w:color w:val="111827"/>
          <w:sz w:val="19"/>
          <w:szCs w:val="19"/>
        </w:rPr>
        <w:t xml:space="preserve">NGB publishes a monthly Data Quality Report showing freshness, null rates, and known issues for each table.</w:t>
      </w:r>
    </w:p>
    <w:p>
      <w:pPr>
        <w:pStyle w:val="ListParagraph"/>
        <w:numPr>
          <w:ilvl w:val="0"/>
          <w:numId w:val="2"/>
        </w:numPr>
        <w:spacing w:after="80"/>
      </w:pPr>
      <w:r>
        <w:rPr>
          <w:rFonts w:ascii="Arial" w:cs="Arial" w:eastAsia="Arial" w:hAnsi="Arial"/>
          <w:color w:val="111827"/>
          <w:sz w:val="19"/>
          <w:szCs w:val="19"/>
        </w:rPr>
        <w:t xml:space="preserve">States report data quality issues via the ticket portal within 10 business days of discovery.</w:t>
      </w:r>
    </w:p>
    <w:p>
      <w:pPr>
        <w:pStyle w:val="ListParagraph"/>
        <w:numPr>
          <w:ilvl w:val="0"/>
          <w:numId w:val="2"/>
        </w:numPr>
        <w:spacing w:after="80"/>
      </w:pPr>
      <w:r>
        <w:rPr>
          <w:rFonts w:ascii="Arial" w:cs="Arial" w:eastAsia="Arial" w:hAnsi="Arial"/>
          <w:color w:val="111827"/>
          <w:sz w:val="19"/>
          <w:szCs w:val="19"/>
        </w:rPr>
        <w:t xml:space="preserve">NGB maintains a Known Issues Log for all active DaaS tables.</w:t>
      </w:r>
    </w:p>
    <w:p/>
    <w:p>
      <w:pPr>
        <w:pStyle w:val="Heading1"/>
      </w:pPr>
      <w:r>
        <w:t xml:space="preserve">8. Open Questions &amp; Decisions Needed</w:t>
      </w:r>
    </w:p>
    <w:p>
      <w:pPr>
        <w:pStyle w:val="ListParagraph"/>
        <w:numPr>
          <w:ilvl w:val="0"/>
          <w:numId w:val="2"/>
        </w:numPr>
        <w:spacing w:after="80"/>
      </w:pPr>
      <w:r>
        <w:rPr>
          <w:rFonts w:ascii="Arial" w:cs="Arial" w:eastAsia="Arial" w:hAnsi="Arial"/>
          <w:color w:val="111827"/>
          <w:sz w:val="19"/>
          <w:szCs w:val="19"/>
        </w:rPr>
        <w:t xml:space="preserve">What is the target platform for the NGB Central Data Hub — Azure Data Lake Gen2, Fabric, or native Dataverse at NGB tenant?</w:t>
      </w:r>
    </w:p>
    <w:p>
      <w:pPr>
        <w:pStyle w:val="ListParagraph"/>
        <w:numPr>
          <w:ilvl w:val="0"/>
          <w:numId w:val="2"/>
        </w:numPr>
        <w:spacing w:after="80"/>
      </w:pPr>
      <w:r>
        <w:rPr>
          <w:rFonts w:ascii="Arial" w:cs="Arial" w:eastAsia="Arial" w:hAnsi="Arial"/>
          <w:color w:val="111827"/>
          <w:sz w:val="19"/>
          <w:szCs w:val="19"/>
        </w:rPr>
        <w:t xml:space="preserve">What authentication model connects state Power Platform environments to NGB data — service principal, managed identity, or shared connection?</w:t>
      </w:r>
    </w:p>
    <w:p>
      <w:pPr>
        <w:pStyle w:val="ListParagraph"/>
        <w:numPr>
          <w:ilvl w:val="0"/>
          <w:numId w:val="2"/>
        </w:numPr>
        <w:spacing w:after="80"/>
      </w:pPr>
      <w:r>
        <w:rPr>
          <w:rFonts w:ascii="Arial" w:cs="Arial" w:eastAsia="Arial" w:hAnsi="Arial"/>
          <w:color w:val="111827"/>
          <w:sz w:val="19"/>
          <w:szCs w:val="19"/>
        </w:rPr>
        <w:t xml:space="preserve">Does the PII/DUA approval process go through NGB legal, J6, or a data governance board? Who chairs it?</w:t>
      </w:r>
    </w:p>
    <w:p>
      <w:pPr>
        <w:pStyle w:val="ListParagraph"/>
        <w:numPr>
          <w:ilvl w:val="0"/>
          <w:numId w:val="2"/>
        </w:numPr>
        <w:spacing w:after="80"/>
      </w:pPr>
      <w:r>
        <w:rPr>
          <w:rFonts w:ascii="Arial" w:cs="Arial" w:eastAsia="Arial" w:hAnsi="Arial"/>
          <w:color w:val="111827"/>
          <w:sz w:val="19"/>
          <w:szCs w:val="19"/>
        </w:rPr>
        <w:t xml:space="preserve">What is the plan for states that don't have DJMS-RC integration — do they get Fact_Pay_Transaction at all?</w:t>
      </w:r>
    </w:p>
    <w:p>
      <w:pPr>
        <w:pStyle w:val="ListParagraph"/>
        <w:numPr>
          <w:ilvl w:val="0"/>
          <w:numId w:val="2"/>
        </w:numPr>
        <w:spacing w:after="80"/>
      </w:pPr>
      <w:r>
        <w:rPr>
          <w:rFonts w:ascii="Arial" w:cs="Arial" w:eastAsia="Arial" w:hAnsi="Arial"/>
          <w:color w:val="111827"/>
          <w:sz w:val="19"/>
          <w:szCs w:val="19"/>
        </w:rPr>
        <w:t xml:space="preserve">Are Checkbook financial fields scoped per state or is there a central visibility model?</w:t>
      </w:r>
    </w:p>
    <w:p>
      <w:pPr>
        <w:pStyle w:val="ListParagraph"/>
        <w:numPr>
          <w:ilvl w:val="0"/>
          <w:numId w:val="2"/>
        </w:numPr>
        <w:spacing w:after="80"/>
      </w:pPr>
      <w:r>
        <w:rPr>
          <w:rFonts w:ascii="Arial" w:cs="Arial" w:eastAsia="Arial" w:hAnsi="Arial"/>
          <w:color w:val="111827"/>
          <w:sz w:val="19"/>
          <w:szCs w:val="19"/>
        </w:rPr>
        <w:t xml:space="preserve">What is the timeline for standing up the initial DaaS infrastructure before the first state onboards?</w:t>
      </w:r>
    </w:p>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1"/>
      </w:pBdr>
    </w:pPr>
    <w:r>
      <w:rPr>
        <w:rFonts w:ascii="Arial" w:cs="Arial" w:eastAsia="Arial" w:hAnsi="Arial"/>
        <w:color w:val="9CA3AF"/>
        <w:sz w:val="16"/>
        <w:szCs w:val="16"/>
      </w:rPr>
      <w:t xml:space="preserve">NGB Digital Transformation Office  |  FOUO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7706" w:sz="6" w:space="1"/>
      </w:pBdr>
      <w:tabs>
        <w:tab w:val="right" w:pos="9026"/>
      </w:tabs>
    </w:pPr>
    <w:r>
      <w:rPr>
        <w:rFonts w:ascii="Arial" w:cs="Arial" w:eastAsia="Arial" w:hAnsi="Arial"/>
        <w:b/>
        <w:bCs/>
        <w:color w:val="1E3A5F"/>
        <w:sz w:val="18"/>
        <w:szCs w:val="18"/>
      </w:rPr>
      <w:t xml:space="preserve">ARNG Power Platform Program — Data As A Service Framework</w:t>
    </w:r>
    <w:r>
      <w:t xml:space="preserve">	</w:t>
    </w:r>
    <w:r>
      <w:rPr>
        <w:rFonts w:ascii="Arial" w:cs="Arial" w:eastAsia="Arial" w:hAnsi="Arial"/>
        <w:i/>
        <w:iCs/>
        <w:color w:val="9CA3AF"/>
        <w:sz w:val="16"/>
        <w:szCs w:val="16"/>
      </w:rPr>
      <w:t xml:space="preserve">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D97706"/>
      </w:rPr>
    </w:lvl>
    <w:lvl w:ilvl="1" w15:tentative="1">
      <w:start w:val="1"/>
      <w:numFmt w:val="bullet"/>
      <w:lvlText w:val="◦"/>
      <w:lvlJc w:val="left"/>
      <w:pPr>
        <w:ind w:left="1080" w:hanging="360"/>
      </w:pPr>
      <w:rPr>
        <w:color w:val="D97706"/>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7706" w:sz="8" w:space="3"/>
      </w:pBd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D9770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B4530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2026-04-02T17:58:36.493Z</dcterms:created>
  <dcterms:modified xsi:type="dcterms:W3CDTF">2026-04-02T17:58:36.493Z</dcterms:modified>
</cp:coreProperties>
</file>

<file path=docProps/custom.xml><?xml version="1.0" encoding="utf-8"?>
<Properties xmlns="http://schemas.openxmlformats.org/officeDocument/2006/custom-properties" xmlns:vt="http://schemas.openxmlformats.org/officeDocument/2006/docPropsVTypes"/>
</file>