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D97706" w:sz="36" w:space="10"/>
        </w:pBdr>
        <w:spacing w:after="0"/>
        <w:ind w:left="240"/>
      </w:pPr>
      <w:r>
        <w:rPr>
          <w:rFonts w:ascii="Arial" w:cs="Arial" w:eastAsia="Arial" w:hAnsi="Arial"/>
          <w:b/>
          <w:bCs/>
          <w:color w:val="1E3A5F"/>
          <w:sz w:val="64"/>
          <w:szCs w:val="64"/>
        </w:rPr>
        <w:t xml:space="preserve">Support Strategy for the 54</w:t>
      </w:r>
    </w:p>
    <w:p>
      <w:pPr>
        <w:spacing w:after="80"/>
        <w:ind w:left="240"/>
      </w:pPr>
      <w:r>
        <w:rPr>
          <w:rFonts w:ascii="Arial" w:cs="Arial" w:eastAsia="Arial" w:hAnsi="Arial"/>
          <w:b/>
          <w:bCs/>
          <w:color w:val="D97706"/>
          <w:sz w:val="24"/>
          <w:szCs w:val="24"/>
        </w:rPr>
        <w:t xml:space="preserve">Army National Guard  |  Power Platform, Guardian Nexus &amp; Forecast</w:t>
      </w:r>
    </w:p>
    <w:p>
      <w:pPr>
        <w:spacing w:after="240"/>
        <w:ind w:left="240"/>
      </w:pPr>
      <w:r>
        <w:rPr>
          <w:rFonts w:ascii="Arial" w:cs="Arial" w:eastAsia="Arial" w:hAnsi="Arial"/>
          <w:color w:val="6B7280"/>
          <w:sz w:val="19"/>
          <w:szCs w:val="19"/>
        </w:rPr>
        <w:t xml:space="preserve">Version 0.1 DRAFT  |  April 2, 2026</w:t>
      </w:r>
    </w:p>
    <w:p/>
    <w:p>
      <w:pPr>
        <w:pStyle w:val="Heading1"/>
      </w:pPr>
      <w:r>
        <w:t xml:space="preserve">1. Executive Summary</w:t>
      </w:r>
    </w:p>
    <w:p>
      <w:pPr>
        <w:spacing w:after="140"/>
      </w:pPr>
      <w:r>
        <w:rPr>
          <w:rFonts w:ascii="Arial" w:cs="Arial" w:eastAsia="Arial" w:hAnsi="Arial"/>
          <w:color w:val="111827"/>
          <w:sz w:val="20"/>
          <w:szCs w:val="20"/>
        </w:rPr>
        <w:t xml:space="preserve">The Army National Guard (ARNG) operates across 54 states and territories, each with its own Power Platform environment, personnel, and operational tempo. As the program scales — deploying Guardian Nexus, Forecast, and a shared Data As A Service (DaaS) layer — a standardized, tiered support model is essential to ensure every state gets consistent, timely, and effective help.</w:t>
      </w:r>
    </w:p>
    <w:p/>
    <w:p>
      <w:pPr>
        <w:spacing w:after="140"/>
      </w:pPr>
      <w:r>
        <w:rPr>
          <w:rFonts w:ascii="Arial" w:cs="Arial" w:eastAsia="Arial" w:hAnsi="Arial"/>
          <w:color w:val="111827"/>
          <w:sz w:val="20"/>
          <w:szCs w:val="20"/>
        </w:rPr>
        <w:t xml:space="preserve">This document establishes the support framework: who handles what at each tier, SLA expectations, state-level roles, escalation paths, and how people and focus areas are structured for scale. All program personnel are now focused on Guardian Nexus and Forecast delivery as the primary mission. The support model is designed to protect that focus while still serving the 54.</w:t>
      </w:r>
    </w:p>
    <w:p/>
    <w:p>
      <w:pPr>
        <w:pStyle w:val="Heading1"/>
      </w:pPr>
      <w:r>
        <w:t xml:space="preserve">2. Scope</w:t>
      </w:r>
    </w:p>
    <w:p>
      <w:pPr>
        <w:spacing w:after="140"/>
      </w:pPr>
      <w:r>
        <w:rPr>
          <w:rFonts w:ascii="Arial" w:cs="Arial" w:eastAsia="Arial" w:hAnsi="Arial"/>
          <w:color w:val="111827"/>
          <w:sz w:val="20"/>
          <w:szCs w:val="20"/>
        </w:rPr>
        <w:t xml:space="preserve">This strategy covers support for:</w:t>
      </w:r>
    </w:p>
    <w:p>
      <w:pPr>
        <w:pStyle w:val="ListParagraph"/>
        <w:numPr>
          <w:ilvl w:val="0"/>
          <w:numId w:val="2"/>
        </w:numPr>
        <w:spacing w:after="80"/>
      </w:pPr>
      <w:r>
        <w:rPr>
          <w:rFonts w:ascii="Arial" w:cs="Arial" w:eastAsia="Arial" w:hAnsi="Arial"/>
          <w:color w:val="111827"/>
          <w:sz w:val="19"/>
          <w:szCs w:val="19"/>
        </w:rPr>
        <w:t xml:space="preserve">All 54 ARNG entities (50 states + DC, Puerto Rico, Guam, U.S. Virgin Islands)</w:t>
      </w:r>
    </w:p>
    <w:p>
      <w:pPr>
        <w:pStyle w:val="ListParagraph"/>
        <w:numPr>
          <w:ilvl w:val="0"/>
          <w:numId w:val="2"/>
        </w:numPr>
        <w:spacing w:after="80"/>
      </w:pPr>
      <w:r>
        <w:rPr>
          <w:rFonts w:ascii="Arial" w:cs="Arial" w:eastAsia="Arial" w:hAnsi="Arial"/>
          <w:color w:val="111827"/>
          <w:sz w:val="19"/>
          <w:szCs w:val="19"/>
        </w:rPr>
        <w:t xml:space="preserve">Power Platform environments (Dev, Test, Prod) at each state</w:t>
      </w:r>
    </w:p>
    <w:p>
      <w:pPr>
        <w:pStyle w:val="ListParagraph"/>
        <w:numPr>
          <w:ilvl w:val="0"/>
          <w:numId w:val="2"/>
        </w:numPr>
        <w:spacing w:after="80"/>
      </w:pPr>
      <w:r>
        <w:rPr>
          <w:rFonts w:ascii="Arial" w:cs="Arial" w:eastAsia="Arial" w:hAnsi="Arial"/>
          <w:color w:val="111827"/>
          <w:sz w:val="19"/>
          <w:szCs w:val="19"/>
        </w:rPr>
        <w:t xml:space="preserve">Guardian Nexus — deployed or in deployment across states</w:t>
      </w:r>
    </w:p>
    <w:p>
      <w:pPr>
        <w:pStyle w:val="ListParagraph"/>
        <w:numPr>
          <w:ilvl w:val="0"/>
          <w:numId w:val="2"/>
        </w:numPr>
        <w:spacing w:after="80"/>
      </w:pPr>
      <w:r>
        <w:rPr>
          <w:rFonts w:ascii="Arial" w:cs="Arial" w:eastAsia="Arial" w:hAnsi="Arial"/>
          <w:color w:val="111827"/>
          <w:sz w:val="19"/>
          <w:szCs w:val="19"/>
        </w:rPr>
        <w:t xml:space="preserve">Forecast — data analytics platform for ARNG personnel</w:t>
      </w:r>
    </w:p>
    <w:p>
      <w:pPr>
        <w:pStyle w:val="ListParagraph"/>
        <w:numPr>
          <w:ilvl w:val="0"/>
          <w:numId w:val="2"/>
        </w:numPr>
        <w:spacing w:after="80"/>
      </w:pPr>
      <w:r>
        <w:rPr>
          <w:rFonts w:ascii="Arial" w:cs="Arial" w:eastAsia="Arial" w:hAnsi="Arial"/>
          <w:color w:val="111827"/>
          <w:sz w:val="19"/>
          <w:szCs w:val="19"/>
        </w:rPr>
        <w:t xml:space="preserve">Data As A Service (DaaS) — shared data services layer</w:t>
      </w:r>
    </w:p>
    <w:p>
      <w:pPr>
        <w:pStyle w:val="ListParagraph"/>
        <w:numPr>
          <w:ilvl w:val="0"/>
          <w:numId w:val="2"/>
        </w:numPr>
        <w:spacing w:after="80"/>
      </w:pPr>
      <w:r>
        <w:rPr>
          <w:rFonts w:ascii="Arial" w:cs="Arial" w:eastAsia="Arial" w:hAnsi="Arial"/>
          <w:color w:val="111827"/>
          <w:sz w:val="19"/>
          <w:szCs w:val="19"/>
        </w:rPr>
        <w:t xml:space="preserve">Training pipeline (100/200/300-level curriculum)</w:t>
      </w:r>
    </w:p>
    <w:p/>
    <w:p>
      <w:pPr>
        <w:spacing w:after="140"/>
      </w:pPr>
      <w:r>
        <w:rPr>
          <w:rFonts w:ascii="Arial" w:cs="Arial" w:eastAsia="Arial" w:hAnsi="Arial"/>
          <w:color w:val="111827"/>
          <w:sz w:val="20"/>
          <w:szCs w:val="20"/>
        </w:rPr>
        <w:t xml:space="preserve">Out of scope: Individual state IT infrastructure, non-ARNG tenants, Microsoft licensing disputes (handled via Microsoft Premier Support).</w:t>
      </w:r>
    </w:p>
    <w:p/>
    <w:p>
      <w:pPr>
        <w:pStyle w:val="Heading1"/>
      </w:pPr>
      <w:r>
        <w:t xml:space="preserve">3. Guiding Principles</w:t>
      </w:r>
    </w:p>
    <w:p>
      <w:pPr>
        <w:pStyle w:val="ListParagraph"/>
        <w:numPr>
          <w:ilvl w:val="0"/>
          <w:numId w:val="2"/>
        </w:numPr>
        <w:spacing w:after="80"/>
      </w:pPr>
      <w:r>
        <w:rPr>
          <w:rFonts w:ascii="Arial" w:cs="Arial" w:eastAsia="Arial" w:hAnsi="Arial"/>
          <w:color w:val="111827"/>
          <w:sz w:val="19"/>
          <w:szCs w:val="19"/>
        </w:rPr>
        <w:t xml:space="preserve">Protect the mission: Program team stays focused on Guardian Nexus and Forecast. Support processes should be designed to minimize interruptions to core product work.</w:t>
      </w:r>
    </w:p>
    <w:p>
      <w:pPr>
        <w:pStyle w:val="ListParagraph"/>
        <w:numPr>
          <w:ilvl w:val="0"/>
          <w:numId w:val="2"/>
        </w:numPr>
        <w:spacing w:after="80"/>
      </w:pPr>
      <w:r>
        <w:rPr>
          <w:rFonts w:ascii="Arial" w:cs="Arial" w:eastAsia="Arial" w:hAnsi="Arial"/>
          <w:color w:val="111827"/>
          <w:sz w:val="19"/>
          <w:szCs w:val="19"/>
        </w:rPr>
        <w:t xml:space="preserve">States own their environment: Each state is responsible for Tier 0/1 support within its own environment. NGB steps in at Tier 2 and above.</w:t>
      </w:r>
    </w:p>
    <w:p>
      <w:pPr>
        <w:pStyle w:val="ListParagraph"/>
        <w:numPr>
          <w:ilvl w:val="0"/>
          <w:numId w:val="2"/>
        </w:numPr>
        <w:spacing w:after="80"/>
      </w:pPr>
      <w:r>
        <w:rPr>
          <w:rFonts w:ascii="Arial" w:cs="Arial" w:eastAsia="Arial" w:hAnsi="Arial"/>
          <w:color w:val="111827"/>
          <w:sz w:val="19"/>
          <w:szCs w:val="19"/>
        </w:rPr>
        <w:t xml:space="preserve">Standardize, then scale: Common environments, naming conventions, and governance patterns across all 54 make support faster and cheaper.</w:t>
      </w:r>
    </w:p>
    <w:p>
      <w:pPr>
        <w:pStyle w:val="ListParagraph"/>
        <w:numPr>
          <w:ilvl w:val="0"/>
          <w:numId w:val="2"/>
        </w:numPr>
        <w:spacing w:after="80"/>
      </w:pPr>
      <w:r>
        <w:rPr>
          <w:rFonts w:ascii="Arial" w:cs="Arial" w:eastAsia="Arial" w:hAnsi="Arial"/>
          <w:color w:val="111827"/>
          <w:sz w:val="19"/>
          <w:szCs w:val="19"/>
        </w:rPr>
        <w:t xml:space="preserve">No state left behind: The support model must accommodate varying maturity levels — from states with mature CoEs to states just starting out.</w:t>
      </w:r>
    </w:p>
    <w:p>
      <w:pPr>
        <w:pStyle w:val="ListParagraph"/>
        <w:numPr>
          <w:ilvl w:val="0"/>
          <w:numId w:val="2"/>
        </w:numPr>
        <w:spacing w:after="80"/>
      </w:pPr>
      <w:r>
        <w:rPr>
          <w:rFonts w:ascii="Arial" w:cs="Arial" w:eastAsia="Arial" w:hAnsi="Arial"/>
          <w:color w:val="111827"/>
          <w:sz w:val="19"/>
          <w:szCs w:val="19"/>
        </w:rPr>
        <w:t xml:space="preserve">Data before decisions: Support requests that involve data anomalies in Guardian Nexus or Forecast must be traced to the DaaS layer before escalation.</w:t>
      </w:r>
    </w:p>
    <w:p/>
    <w:p>
      <w:pPr>
        <w:pStyle w:val="Heading1"/>
      </w:pPr>
      <w:r>
        <w:t xml:space="preserve">4. Tiered Support Model</w:t>
      </w:r>
    </w:p>
    <w:p>
      <w:pPr>
        <w:spacing w:after="140"/>
      </w:pPr>
      <w:r>
        <w:rPr>
          <w:rFonts w:ascii="Arial" w:cs="Arial" w:eastAsia="Arial" w:hAnsi="Arial"/>
          <w:color w:val="111827"/>
          <w:sz w:val="20"/>
          <w:szCs w:val="20"/>
        </w:rPr>
        <w:t xml:space="preserve">The model uses five tiers. Tier 0 is designed to keep volume out of human queues. Tiers 1 and 2 handle the vast majority of issues. Tiers 3 and 4 are reserved for genuine product defects and systemic decisions.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2000"/>
        <w:gridCol w:w="1200"/>
        <w:gridCol w:w="2160"/>
      </w:tblGrid>
      <w:tr>
        <w:trPr>
          <w:tblHeader/>
        </w:trPr>
        <w:tc>
          <w:tcPr>
            <w:tcW w:type="dxa" w:w="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w:t>
            </w:r>
          </w:p>
        </w:tc>
        <w:tc>
          <w:tcPr>
            <w:tcW w:type="dxa" w:w="1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Name</w:t>
            </w:r>
          </w:p>
        </w:tc>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Who Handles</w:t>
            </w:r>
          </w:p>
        </w:tc>
        <w:tc>
          <w:tcPr>
            <w:tcW w:type="dxa" w:w="20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Scope</w:t>
            </w:r>
          </w:p>
        </w:tc>
        <w:tc>
          <w:tcPr>
            <w:tcW w:type="dxa" w:w="1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SLA</w:t>
            </w:r>
          </w:p>
        </w:tc>
        <w:tc>
          <w:tcPr>
            <w:tcW w:type="dxa" w:w="21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Escalation Path</w:t>
            </w:r>
          </w:p>
        </w:tc>
      </w:tr>
      <w:tr>
        <w:tc>
          <w:tcPr>
            <w:tcW w:type="dxa" w:w="800"/>
            <w:shd w:fill="FFFFFF" w:val="clear"/>
            <w:tcMar>
              <w:top w:type="dxa" w:w="80"/>
              <w:left w:type="dxa" w:w="120"/>
              <w:bottom w:type="dxa" w:w="80"/>
              <w:right w:type="dxa" w:w="120"/>
            </w:tcMar>
          </w:tcPr>
          <w:p>
            <w:r>
              <w:rPr>
                <w:rFonts w:ascii="Arial" w:cs="Arial" w:eastAsia="Arial" w:hAnsi="Arial"/>
                <w:b/>
                <w:bCs/>
                <w:color w:val="1E3A5F"/>
                <w:sz w:val="18"/>
                <w:szCs w:val="18"/>
              </w:rPr>
              <w:t xml:space="preserve">Tier 0</w:t>
            </w:r>
          </w:p>
        </w:tc>
        <w:tc>
          <w:tcPr>
            <w:tcW w:type="dxa" w:w="14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Self-Service</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User</w:t>
            </w:r>
          </w:p>
        </w:tc>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FAQ, knowledge base, training docs, known issues list</w:t>
            </w:r>
          </w:p>
        </w:tc>
        <w:tc>
          <w:tcPr>
            <w:tcW w:type="dxa" w:w="12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N/A</w:t>
            </w:r>
          </w:p>
        </w:tc>
        <w:tc>
          <w:tcPr>
            <w:tcW w:type="dxa" w:w="21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Tier 1 if unresolved in 2 hrs</w:t>
            </w:r>
          </w:p>
        </w:tc>
      </w:tr>
      <w:tr>
        <w:tc>
          <w:tcPr>
            <w:tcW w:type="dxa" w:w="800"/>
            <w:shd w:fill="D6E4F7" w:val="clear"/>
            <w:tcMar>
              <w:top w:type="dxa" w:w="80"/>
              <w:left w:type="dxa" w:w="120"/>
              <w:bottom w:type="dxa" w:w="80"/>
              <w:right w:type="dxa" w:w="120"/>
            </w:tcMar>
          </w:tcPr>
          <w:p>
            <w:r>
              <w:rPr>
                <w:rFonts w:ascii="Arial" w:cs="Arial" w:eastAsia="Arial" w:hAnsi="Arial"/>
                <w:b/>
                <w:bCs/>
                <w:color w:val="1E3A5F"/>
                <w:sz w:val="18"/>
                <w:szCs w:val="18"/>
              </w:rPr>
              <w:t xml:space="preserve">Tier 1</w:t>
            </w:r>
          </w:p>
        </w:tc>
        <w:tc>
          <w:tcPr>
            <w:tcW w:type="dxa" w:w="1400"/>
            <w:shd w:fill="D6E4F7"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Help Desk</w:t>
            </w:r>
          </w:p>
        </w:tc>
        <w:tc>
          <w:tcPr>
            <w:tcW w:type="dxa" w:w="1800"/>
            <w:shd w:fill="D6E4F7"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Power Platform CoE / State POC</w:t>
            </w:r>
          </w:p>
        </w:tc>
        <w:tc>
          <w:tcPr>
            <w:tcW w:type="dxa" w:w="2000"/>
            <w:shd w:fill="D6E4F7" w:val="clear"/>
            <w:tcMar>
              <w:top w:type="dxa" w:w="80"/>
              <w:left w:type="dxa" w:w="120"/>
              <w:bottom w:type="dxa" w:w="80"/>
              <w:right w:type="dxa" w:w="120"/>
            </w:tcMar>
          </w:tcPr>
          <w:p>
            <w:r>
              <w:rPr>
                <w:rFonts w:ascii="Arial" w:cs="Arial" w:eastAsia="Arial" w:hAnsi="Arial"/>
                <w:b w:val="false"/>
                <w:bCs w:val="false"/>
                <w:color w:val="111827"/>
                <w:sz w:val="18"/>
                <w:szCs w:val="18"/>
              </w:rPr>
              <w:t xml:space="preserve">Basic troubleshooting, account issues, user access, app errors</w:t>
            </w:r>
          </w:p>
        </w:tc>
        <w:tc>
          <w:tcPr>
            <w:tcW w:type="dxa" w:w="1200"/>
            <w:shd w:fill="D6E4F7" w:val="clear"/>
            <w:tcMar>
              <w:top w:type="dxa" w:w="80"/>
              <w:left w:type="dxa" w:w="120"/>
              <w:bottom w:type="dxa" w:w="80"/>
              <w:right w:type="dxa" w:w="120"/>
            </w:tcMar>
          </w:tcPr>
          <w:p>
            <w:r>
              <w:rPr>
                <w:rFonts w:ascii="Arial" w:cs="Arial" w:eastAsia="Arial" w:hAnsi="Arial"/>
                <w:b w:val="false"/>
                <w:bCs w:val="false"/>
                <w:color w:val="111827"/>
                <w:sz w:val="18"/>
                <w:szCs w:val="18"/>
              </w:rPr>
              <w:t xml:space="preserve">4 hrs (Critical)
1 day (High)</w:t>
            </w:r>
          </w:p>
        </w:tc>
        <w:tc>
          <w:tcPr>
            <w:tcW w:type="dxa" w:w="2160"/>
            <w:shd w:fill="D6E4F7" w:val="clear"/>
            <w:tcMar>
              <w:top w:type="dxa" w:w="80"/>
              <w:left w:type="dxa" w:w="120"/>
              <w:bottom w:type="dxa" w:w="80"/>
              <w:right w:type="dxa" w:w="120"/>
            </w:tcMar>
          </w:tcPr>
          <w:p>
            <w:r>
              <w:rPr>
                <w:rFonts w:ascii="Arial" w:cs="Arial" w:eastAsia="Arial" w:hAnsi="Arial"/>
                <w:b w:val="false"/>
                <w:bCs w:val="false"/>
                <w:color w:val="111827"/>
                <w:sz w:val="18"/>
                <w:szCs w:val="18"/>
              </w:rPr>
              <w:t xml:space="preserve">Tier 2 if beyond state expertise</w:t>
            </w:r>
          </w:p>
        </w:tc>
      </w:tr>
      <w:tr>
        <w:tc>
          <w:tcPr>
            <w:tcW w:type="dxa" w:w="800"/>
            <w:shd w:fill="FEF3C7" w:val="clear"/>
            <w:tcMar>
              <w:top w:type="dxa" w:w="80"/>
              <w:left w:type="dxa" w:w="120"/>
              <w:bottom w:type="dxa" w:w="80"/>
              <w:right w:type="dxa" w:w="120"/>
            </w:tcMar>
          </w:tcPr>
          <w:p>
            <w:r>
              <w:rPr>
                <w:rFonts w:ascii="Arial" w:cs="Arial" w:eastAsia="Arial" w:hAnsi="Arial"/>
                <w:b/>
                <w:bCs/>
                <w:color w:val="1E3A5F"/>
                <w:sz w:val="18"/>
                <w:szCs w:val="18"/>
              </w:rPr>
              <w:t xml:space="preserve">Tier 2</w:t>
            </w:r>
          </w:p>
        </w:tc>
        <w:tc>
          <w:tcPr>
            <w:tcW w:type="dxa" w:w="1400"/>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Program Support</w:t>
            </w:r>
          </w:p>
        </w:tc>
        <w:tc>
          <w:tcPr>
            <w:tcW w:type="dxa" w:w="1800"/>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Digital Transformation Team</w:t>
            </w:r>
          </w:p>
        </w:tc>
        <w:tc>
          <w:tcPr>
            <w:tcW w:type="dxa" w:w="2000"/>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Environment issues, data connector problems, Guardian Nexus bugs, Forecast anomalies</w:t>
            </w:r>
          </w:p>
        </w:tc>
        <w:tc>
          <w:tcPr>
            <w:tcW w:type="dxa" w:w="1200"/>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4 hrs (Critical)
2 days (High)</w:t>
            </w:r>
          </w:p>
        </w:tc>
        <w:tc>
          <w:tcPr>
            <w:tcW w:type="dxa" w:w="2160"/>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Tier 3 for product defects</w:t>
            </w:r>
          </w:p>
        </w:tc>
      </w:tr>
      <w:tr>
        <w:tc>
          <w:tcPr>
            <w:tcW w:type="dxa" w:w="800"/>
            <w:shd w:fill="D9EAD3" w:val="clear"/>
            <w:tcMar>
              <w:top w:type="dxa" w:w="80"/>
              <w:left w:type="dxa" w:w="120"/>
              <w:bottom w:type="dxa" w:w="80"/>
              <w:right w:type="dxa" w:w="120"/>
            </w:tcMar>
          </w:tcPr>
          <w:p>
            <w:r>
              <w:rPr>
                <w:rFonts w:ascii="Arial" w:cs="Arial" w:eastAsia="Arial" w:hAnsi="Arial"/>
                <w:b/>
                <w:bCs/>
                <w:color w:val="1E3A5F"/>
                <w:sz w:val="18"/>
                <w:szCs w:val="18"/>
              </w:rPr>
              <w:t xml:space="preserve">Tier 3</w:t>
            </w:r>
          </w:p>
        </w:tc>
        <w:tc>
          <w:tcPr>
            <w:tcW w:type="dxa" w:w="1400"/>
            <w:shd w:fill="D9EAD3" w:val="clear"/>
            <w:tcMar>
              <w:top w:type="dxa" w:w="80"/>
              <w:left w:type="dxa" w:w="120"/>
              <w:bottom w:type="dxa" w:w="80"/>
              <w:right w:type="dxa" w:w="120"/>
            </w:tcMar>
          </w:tcPr>
          <w:p>
            <w:r>
              <w:rPr>
                <w:rFonts w:ascii="Arial" w:cs="Arial" w:eastAsia="Arial" w:hAnsi="Arial"/>
                <w:b w:val="false"/>
                <w:bCs w:val="false"/>
                <w:color w:val="111827"/>
                <w:sz w:val="18"/>
                <w:szCs w:val="18"/>
              </w:rPr>
              <w:t xml:space="preserve">Product Engineering</w:t>
            </w:r>
          </w:p>
        </w:tc>
        <w:tc>
          <w:tcPr>
            <w:tcW w:type="dxa" w:w="1800"/>
            <w:shd w:fill="D9EAD3" w:val="clear"/>
            <w:tcMar>
              <w:top w:type="dxa" w:w="80"/>
              <w:left w:type="dxa" w:w="120"/>
              <w:bottom w:type="dxa" w:w="80"/>
              <w:right w:type="dxa" w:w="120"/>
            </w:tcMar>
          </w:tcPr>
          <w:p>
            <w:r>
              <w:rPr>
                <w:rFonts w:ascii="Arial" w:cs="Arial" w:eastAsia="Arial" w:hAnsi="Arial"/>
                <w:b w:val="false"/>
                <w:bCs w:val="false"/>
                <w:color w:val="111827"/>
                <w:sz w:val="18"/>
                <w:szCs w:val="18"/>
              </w:rPr>
              <w:t xml:space="preserve">Guardian Nexus / Forecast Dev Teams</w:t>
            </w:r>
          </w:p>
        </w:tc>
        <w:tc>
          <w:tcPr>
            <w:tcW w:type="dxa" w:w="2000"/>
            <w:shd w:fill="D9EAD3" w:val="clear"/>
            <w:tcMar>
              <w:top w:type="dxa" w:w="80"/>
              <w:left w:type="dxa" w:w="120"/>
              <w:bottom w:type="dxa" w:w="80"/>
              <w:right w:type="dxa" w:w="120"/>
            </w:tcMar>
          </w:tcPr>
          <w:p>
            <w:r>
              <w:rPr>
                <w:rFonts w:ascii="Arial" w:cs="Arial" w:eastAsia="Arial" w:hAnsi="Arial"/>
                <w:b w:val="false"/>
                <w:bCs w:val="false"/>
                <w:color w:val="111827"/>
                <w:sz w:val="18"/>
                <w:szCs w:val="18"/>
              </w:rPr>
              <w:t xml:space="preserve">Platform defects, data pipeline failures, infrastructure issues</w:t>
            </w:r>
          </w:p>
        </w:tc>
        <w:tc>
          <w:tcPr>
            <w:tcW w:type="dxa" w:w="1200"/>
            <w:shd w:fill="D9EAD3" w:val="clear"/>
            <w:tcMar>
              <w:top w:type="dxa" w:w="80"/>
              <w:left w:type="dxa" w:w="120"/>
              <w:bottom w:type="dxa" w:w="80"/>
              <w:right w:type="dxa" w:w="120"/>
            </w:tcMar>
          </w:tcPr>
          <w:p>
            <w:r>
              <w:rPr>
                <w:rFonts w:ascii="Arial" w:cs="Arial" w:eastAsia="Arial" w:hAnsi="Arial"/>
                <w:b w:val="false"/>
                <w:bCs w:val="false"/>
                <w:color w:val="111827"/>
                <w:sz w:val="18"/>
                <w:szCs w:val="18"/>
              </w:rPr>
              <w:t xml:space="preserve">Same day (Critical)
1 week (High)</w:t>
            </w:r>
          </w:p>
        </w:tc>
        <w:tc>
          <w:tcPr>
            <w:tcW w:type="dxa" w:w="2160"/>
            <w:shd w:fill="D9EAD3" w:val="clear"/>
            <w:tcMar>
              <w:top w:type="dxa" w:w="80"/>
              <w:left w:type="dxa" w:w="120"/>
              <w:bottom w:type="dxa" w:w="80"/>
              <w:right w:type="dxa" w:w="120"/>
            </w:tcMar>
          </w:tcPr>
          <w:p>
            <w:r>
              <w:rPr>
                <w:rFonts w:ascii="Arial" w:cs="Arial" w:eastAsia="Arial" w:hAnsi="Arial"/>
                <w:b w:val="false"/>
                <w:bCs w:val="false"/>
                <w:color w:val="111827"/>
                <w:sz w:val="18"/>
                <w:szCs w:val="18"/>
              </w:rPr>
              <w:t xml:space="preserve">Escalate to program leadership</w:t>
            </w:r>
          </w:p>
        </w:tc>
      </w:tr>
      <w:tr>
        <w:tc>
          <w:tcPr>
            <w:tcW w:type="dxa" w:w="800"/>
            <w:shd w:fill="FFDCE1" w:val="clear"/>
            <w:tcMar>
              <w:top w:type="dxa" w:w="80"/>
              <w:left w:type="dxa" w:w="120"/>
              <w:bottom w:type="dxa" w:w="80"/>
              <w:right w:type="dxa" w:w="120"/>
            </w:tcMar>
          </w:tcPr>
          <w:p>
            <w:r>
              <w:rPr>
                <w:rFonts w:ascii="Arial" w:cs="Arial" w:eastAsia="Arial" w:hAnsi="Arial"/>
                <w:b/>
                <w:bCs/>
                <w:color w:val="1E3A5F"/>
                <w:sz w:val="18"/>
                <w:szCs w:val="18"/>
              </w:rPr>
              <w:t xml:space="preserve">Tier 4</w:t>
            </w:r>
          </w:p>
        </w:tc>
        <w:tc>
          <w:tcPr>
            <w:tcW w:type="dxa" w:w="1400"/>
            <w:shd w:fill="FFDCE1" w:val="clear"/>
            <w:tcMar>
              <w:top w:type="dxa" w:w="80"/>
              <w:left w:type="dxa" w:w="120"/>
              <w:bottom w:type="dxa" w:w="80"/>
              <w:right w:type="dxa" w:w="120"/>
            </w:tcMar>
          </w:tcPr>
          <w:p>
            <w:r>
              <w:rPr>
                <w:rFonts w:ascii="Arial" w:cs="Arial" w:eastAsia="Arial" w:hAnsi="Arial"/>
                <w:b w:val="false"/>
                <w:bCs w:val="false"/>
                <w:color w:val="111827"/>
                <w:sz w:val="18"/>
                <w:szCs w:val="18"/>
              </w:rPr>
              <w:t xml:space="preserve">Program Leadership</w:t>
            </w:r>
          </w:p>
        </w:tc>
        <w:tc>
          <w:tcPr>
            <w:tcW w:type="dxa" w:w="1800"/>
            <w:shd w:fill="FFDCE1" w:val="clear"/>
            <w:tcMar>
              <w:top w:type="dxa" w:w="80"/>
              <w:left w:type="dxa" w:w="120"/>
              <w:bottom w:type="dxa" w:w="80"/>
              <w:right w:type="dxa" w:w="120"/>
            </w:tcMar>
          </w:tcPr>
          <w:p>
            <w:r>
              <w:rPr>
                <w:rFonts w:ascii="Arial" w:cs="Arial" w:eastAsia="Arial" w:hAnsi="Arial"/>
                <w:b w:val="false"/>
                <w:bCs w:val="false"/>
                <w:color w:val="111827"/>
                <w:sz w:val="18"/>
                <w:szCs w:val="18"/>
              </w:rPr>
              <w:t xml:space="preserve">Program Manager + NGB Leadership</w:t>
            </w:r>
          </w:p>
        </w:tc>
        <w:tc>
          <w:tcPr>
            <w:tcW w:type="dxa" w:w="2000"/>
            <w:shd w:fill="FFDCE1" w:val="clear"/>
            <w:tcMar>
              <w:top w:type="dxa" w:w="80"/>
              <w:left w:type="dxa" w:w="120"/>
              <w:bottom w:type="dxa" w:w="80"/>
              <w:right w:type="dxa" w:w="120"/>
            </w:tcMar>
          </w:tcPr>
          <w:p>
            <w:r>
              <w:rPr>
                <w:rFonts w:ascii="Arial" w:cs="Arial" w:eastAsia="Arial" w:hAnsi="Arial"/>
                <w:b w:val="false"/>
                <w:bCs w:val="false"/>
                <w:color w:val="111827"/>
                <w:sz w:val="18"/>
                <w:szCs w:val="18"/>
              </w:rPr>
              <w:t xml:space="preserve">Systemic issues, policy decisions, resourcing gaps</w:t>
            </w:r>
          </w:p>
        </w:tc>
        <w:tc>
          <w:tcPr>
            <w:tcW w:type="dxa" w:w="1200"/>
            <w:shd w:fill="FFDCE1" w:val="clear"/>
            <w:tcMar>
              <w:top w:type="dxa" w:w="80"/>
              <w:left w:type="dxa" w:w="120"/>
              <w:bottom w:type="dxa" w:w="80"/>
              <w:right w:type="dxa" w:w="120"/>
            </w:tcMar>
          </w:tcPr>
          <w:p>
            <w:r>
              <w:rPr>
                <w:rFonts w:ascii="Arial" w:cs="Arial" w:eastAsia="Arial" w:hAnsi="Arial"/>
                <w:b w:val="false"/>
                <w:bCs w:val="false"/>
                <w:color w:val="111827"/>
                <w:sz w:val="18"/>
                <w:szCs w:val="18"/>
              </w:rPr>
              <w:t xml:space="preserve">Case by case</w:t>
            </w:r>
          </w:p>
        </w:tc>
        <w:tc>
          <w:tcPr>
            <w:tcW w:type="dxa" w:w="2160"/>
            <w:shd w:fill="FFDCE1" w:val="clear"/>
            <w:tcMar>
              <w:top w:type="dxa" w:w="80"/>
              <w:left w:type="dxa" w:w="120"/>
              <w:bottom w:type="dxa" w:w="80"/>
              <w:right w:type="dxa" w:w="120"/>
            </w:tcMar>
          </w:tcPr>
          <w:p>
            <w:r>
              <w:rPr>
                <w:rFonts w:ascii="Arial" w:cs="Arial" w:eastAsia="Arial" w:hAnsi="Arial"/>
                <w:b w:val="false"/>
                <w:bCs w:val="false"/>
                <w:color w:val="111827"/>
                <w:sz w:val="18"/>
                <w:szCs w:val="18"/>
              </w:rPr>
              <w:t xml:space="preserve">N/A</w:t>
            </w:r>
          </w:p>
        </w:tc>
      </w:tr>
    </w:tbl>
    <w:p/>
    <w:p>
      <w:pPr>
        <w:pStyle w:val="Heading1"/>
      </w:pPr>
      <w:r>
        <w:t xml:space="preserve">5. System Coverage Matrix</w:t>
      </w:r>
    </w:p>
    <w:p>
      <w:pPr>
        <w:spacing w:after="140"/>
      </w:pPr>
      <w:r>
        <w:rPr>
          <w:rFonts w:ascii="Arial" w:cs="Arial" w:eastAsia="Arial" w:hAnsi="Arial"/>
          <w:color w:val="111827"/>
          <w:sz w:val="20"/>
          <w:szCs w:val="20"/>
        </w:rPr>
        <w:t xml:space="preserve">Each product area has a defined support path across tiers. States must have a named contact for each row.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rPr>
          <w:tblHeader/>
        </w:trPr>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System / Product</w:t>
            </w:r>
          </w:p>
        </w:tc>
        <w:tc>
          <w:tcPr>
            <w:tcW w:type="dxa" w:w="14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 0</w:t>
            </w:r>
          </w:p>
        </w:tc>
        <w:tc>
          <w:tcPr>
            <w:tcW w:type="dxa" w:w="14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 1</w:t>
            </w:r>
          </w:p>
        </w:tc>
        <w:tc>
          <w:tcPr>
            <w:tcW w:type="dxa" w:w="14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 2</w:t>
            </w:r>
          </w:p>
        </w:tc>
        <w:tc>
          <w:tcPr>
            <w:tcW w:type="dxa" w:w="144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 3</w:t>
            </w:r>
          </w:p>
        </w:tc>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Guardian Nexus</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Docs/FAQ</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POC</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Digital Team</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GN Dev Team</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All states must designate a Nexus POC</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Forecast</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Docs/FAQ</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POC</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Digital Team</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Forecast Dev Team</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Weekly sync with Tier 2 recommended</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Power Platform</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MS Docs + Internal KB</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CoE</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PP Governance Team</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Microsoft (via Premier)</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Each state must have a licensed CoE contact</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DaaS</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Data Catalog Docs</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Data POC</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Data Engineering</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Architecture Board</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DaaS is a shared service — state data ownership rules apply</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Training / 300 Course</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Course Materials</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Training POC</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NGB Training Team</w:t>
            </w:r>
          </w:p>
        </w:tc>
        <w:tc>
          <w:tcPr>
            <w:tcW w:type="dxa" w:w="144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Curriculum SMEs</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
            </w:r>
          </w:p>
        </w:tc>
      </w:tr>
    </w:tbl>
    <w:p/>
    <w:p>
      <w:r>
        <w:br w:type="page"/>
      </w:r>
    </w:p>
    <w:p>
      <w:pPr>
        <w:pStyle w:val="Heading1"/>
      </w:pPr>
      <w:r>
        <w:t xml:space="preserve">6. Required State Roles</w:t>
      </w:r>
    </w:p>
    <w:p>
      <w:pPr>
        <w:spacing w:after="140"/>
      </w:pPr>
      <w:r>
        <w:rPr>
          <w:rFonts w:ascii="Arial" w:cs="Arial" w:eastAsia="Arial" w:hAnsi="Arial"/>
          <w:color w:val="111827"/>
          <w:sz w:val="20"/>
          <w:szCs w:val="20"/>
        </w:rPr>
        <w:t xml:space="preserve">Every one of the 54 entities must have the following roles filled. These can be one person in smaller states, or distributed in larger ones.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Role</w:t>
            </w:r>
          </w:p>
        </w:tc>
        <w:tc>
          <w:tcPr>
            <w:tcW w:type="dxa" w:w="30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Responsibilities</w:t>
            </w:r>
          </w:p>
        </w:tc>
        <w:tc>
          <w:tcPr>
            <w:tcW w:type="dxa" w:w="43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Notes</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POC (Primary)</w:t>
            </w:r>
          </w:p>
        </w:tc>
        <w:tc>
          <w:tcPr>
            <w:tcW w:type="dxa" w:w="3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Single point of contact for NGB; routes Tier 1 issues; attends monthly sync</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Required for all 54 entities</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Power Platform Admin</w:t>
            </w:r>
          </w:p>
        </w:tc>
        <w:tc>
          <w:tcPr>
            <w:tcW w:type="dxa" w:w="3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Manages Dev/Test/Prod environments; enforces governance policy; handles licenses</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Must complete 300-level course</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Data Steward</w:t>
            </w:r>
          </w:p>
        </w:tc>
        <w:tc>
          <w:tcPr>
            <w:tcW w:type="dxa" w:w="3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Oversees state data inputs to DaaS; validates data quality; approves data sharing agreements</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Can be same person as PP Admin in small states</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 Trainer</w:t>
            </w:r>
          </w:p>
        </w:tc>
        <w:tc>
          <w:tcPr>
            <w:tcW w:type="dxa" w:w="30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Delivers 100/200/300-level training to state personnel; tracks completion</w:t>
            </w:r>
          </w:p>
        </w:tc>
        <w:tc>
          <w:tcPr>
            <w:tcW w:type="dxa" w:w="43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Reports completion to NGB Training Team</w:t>
            </w:r>
          </w:p>
        </w:tc>
      </w:tr>
    </w:tbl>
    <w:p/>
    <w:p>
      <w:pPr>
        <w:spacing w:after="140"/>
      </w:pPr>
      <w:r>
        <w:rPr>
          <w:rFonts w:ascii="Arial" w:cs="Arial" w:eastAsia="Arial" w:hAnsi="Arial"/>
          <w:color w:val="111827"/>
          <w:sz w:val="20"/>
          <w:szCs w:val="20"/>
        </w:rPr>
        <w:t xml:space="preserve">NGB will maintain a live roster of all 54 state POCs, admins, and data stewards. This roster feeds the support routing logic and training tracking system.</w:t>
      </w:r>
    </w:p>
    <w:p/>
    <w:p>
      <w:pPr>
        <w:pStyle w:val="Heading1"/>
      </w:pPr>
      <w:r>
        <w:t xml:space="preserve">7. SLA Targets</w:t>
      </w:r>
    </w:p>
    <w:p>
      <w:pPr>
        <w:spacing w:after="140"/>
      </w:pPr>
      <w:r>
        <w:rPr>
          <w:rFonts w:ascii="Arial" w:cs="Arial" w:eastAsia="Arial" w:hAnsi="Arial"/>
          <w:color w:val="111827"/>
          <w:sz w:val="20"/>
          <w:szCs w:val="20"/>
        </w:rPr>
        <w:t xml:space="preserve">SLAs apply from the time a ticket is submitted to a queue. Critical issues auto-escalate if no Tier 1 response within 1 hour.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2760"/>
      </w:tblGrid>
      <w:tr>
        <w:trPr>
          <w:tblHeader/>
        </w:trPr>
        <w:tc>
          <w:tcPr>
            <w:tcW w:type="dxa" w:w="16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Priority</w:t>
            </w:r>
          </w:p>
        </w:tc>
        <w:tc>
          <w:tcPr>
            <w:tcW w:type="dxa" w:w="16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Definition</w:t>
            </w:r>
          </w:p>
        </w:tc>
        <w:tc>
          <w:tcPr>
            <w:tcW w:type="dxa" w:w="16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 1 Target</w:t>
            </w:r>
          </w:p>
        </w:tc>
        <w:tc>
          <w:tcPr>
            <w:tcW w:type="dxa" w:w="18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Tier 2 Target</w:t>
            </w:r>
          </w:p>
        </w:tc>
        <w:tc>
          <w:tcPr>
            <w:tcW w:type="dxa" w:w="276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Critical</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Production is down; mission impact</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1 hr / Resolve 4 hrs</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30 min / Escalate 2 hrs</w:t>
            </w:r>
          </w:p>
        </w:tc>
        <w:tc>
          <w:tcPr>
            <w:tcW w:type="dxa" w:w="27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Guardian Nexus login failure for all state users</w:t>
            </w:r>
          </w:p>
        </w:tc>
      </w:tr>
      <w:tr>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High</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Significant function impaired</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4 hrs / Resolve 1 day</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2 hrs / Resolve 2 days</w:t>
            </w:r>
          </w:p>
        </w:tc>
        <w:tc>
          <w:tcPr>
            <w:tcW w:type="dxa" w:w="27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Forecast data not refreshing for a state</w:t>
            </w:r>
          </w:p>
        </w:tc>
      </w:tr>
      <w:tr>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Medium</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Degraded experience, workaround exists</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1 day / Resolve 3 days</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4 hrs / Resolve 1 week</w:t>
            </w:r>
          </w:p>
        </w:tc>
        <w:tc>
          <w:tcPr>
            <w:tcW w:type="dxa" w:w="27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Power App rendering issue on mobile</w:t>
            </w:r>
          </w:p>
        </w:tc>
      </w:tr>
      <w:tr>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Minor issue or enhancement request</w:t>
            </w:r>
          </w:p>
        </w:tc>
        <w:tc>
          <w:tcPr>
            <w:tcW w:type="dxa" w:w="16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Respond 3 days</w:t>
            </w:r>
          </w:p>
        </w:tc>
        <w:tc>
          <w:tcPr>
            <w:tcW w:type="dxa" w:w="180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Resolve per sprint cycle</w:t>
            </w:r>
          </w:p>
        </w:tc>
        <w:tc>
          <w:tcPr>
            <w:tcW w:type="dxa" w:w="2760"/>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New column request in Forecast dashboard</w:t>
            </w:r>
          </w:p>
        </w:tc>
      </w:tr>
    </w:tbl>
    <w:p/>
    <w:p>
      <w:pPr>
        <w:spacing w:after="140"/>
      </w:pPr>
      <w:r>
        <w:rPr>
          <w:rFonts w:ascii="Arial" w:cs="Arial" w:eastAsia="Arial" w:hAnsi="Arial"/>
          <w:color w:val="111827"/>
          <w:sz w:val="20"/>
          <w:szCs w:val="20"/>
        </w:rPr>
        <w:t xml:space="preserve">SLA clock starts when a ticket is submitted. States are responsible for triage at Tier 1. If a state POC is unreachable, NGB assumes Tier 1 responsibility and the SLA clock continues.</w:t>
      </w:r>
    </w:p>
    <w:p/>
    <w:p>
      <w:pPr>
        <w:pStyle w:val="Heading1"/>
      </w:pPr>
      <w:r>
        <w:t xml:space="preserve">8. Support Channels</w:t>
      </w:r>
    </w:p>
    <w:p>
      <w:pPr>
        <w:pStyle w:val="Heading2"/>
      </w:pPr>
      <w:r>
        <w:t xml:space="preserve">8.1 Inbound Channels</w:t>
      </w:r>
    </w:p>
    <w:p>
      <w:pPr>
        <w:pStyle w:val="ListParagraph"/>
        <w:numPr>
          <w:ilvl w:val="0"/>
          <w:numId w:val="2"/>
        </w:numPr>
        <w:spacing w:after="80"/>
      </w:pPr>
      <w:r>
        <w:rPr>
          <w:rFonts w:ascii="Arial" w:cs="Arial" w:eastAsia="Arial" w:hAnsi="Arial"/>
          <w:color w:val="111827"/>
          <w:sz w:val="19"/>
          <w:szCs w:val="19"/>
        </w:rPr>
        <w:t xml:space="preserve">State Ticket Portal: Primary inbound channel. All issues should be logged here regardless of how they are first raised.</w:t>
      </w:r>
    </w:p>
    <w:p>
      <w:pPr>
        <w:pStyle w:val="ListParagraph"/>
        <w:numPr>
          <w:ilvl w:val="0"/>
          <w:numId w:val="2"/>
        </w:numPr>
        <w:spacing w:after="80"/>
      </w:pPr>
      <w:r>
        <w:rPr>
          <w:rFonts w:ascii="Arial" w:cs="Arial" w:eastAsia="Arial" w:hAnsi="Arial"/>
          <w:color w:val="111827"/>
          <w:sz w:val="19"/>
          <w:szCs w:val="19"/>
        </w:rPr>
        <w:t xml:space="preserve">Monthly State Sync Call: 30-min standing call for non-urgent issues, pattern sharing, and best practice exchange across the 54.</w:t>
      </w:r>
    </w:p>
    <w:p>
      <w:pPr>
        <w:pStyle w:val="ListParagraph"/>
        <w:numPr>
          <w:ilvl w:val="0"/>
          <w:numId w:val="2"/>
        </w:numPr>
        <w:spacing w:after="80"/>
      </w:pPr>
      <w:r>
        <w:rPr>
          <w:rFonts w:ascii="Arial" w:cs="Arial" w:eastAsia="Arial" w:hAnsi="Arial"/>
          <w:color w:val="111827"/>
          <w:sz w:val="19"/>
          <w:szCs w:val="19"/>
        </w:rPr>
        <w:t xml:space="preserve">Guardian Nexus In-App Feedback: Routes to Tier 2 directly. For product feedback and feature requests, not break/fix support.</w:t>
      </w:r>
    </w:p>
    <w:p>
      <w:pPr>
        <w:pStyle w:val="ListParagraph"/>
        <w:numPr>
          <w:ilvl w:val="0"/>
          <w:numId w:val="2"/>
        </w:numPr>
        <w:spacing w:after="80"/>
      </w:pPr>
      <w:r>
        <w:rPr>
          <w:rFonts w:ascii="Arial" w:cs="Arial" w:eastAsia="Arial" w:hAnsi="Arial"/>
          <w:color w:val="111827"/>
          <w:sz w:val="19"/>
          <w:szCs w:val="19"/>
        </w:rPr>
        <w:t xml:space="preserve">Emergency Hotline: For Critical-tier issues only. Goes directly to NGB Tier 2 on-call.</w:t>
      </w:r>
    </w:p>
    <w:p/>
    <w:p>
      <w:pPr>
        <w:pStyle w:val="Heading2"/>
      </w:pPr>
      <w:r>
        <w:t xml:space="preserve">8.2 Communication Standards</w:t>
      </w:r>
    </w:p>
    <w:p>
      <w:pPr>
        <w:pStyle w:val="ListParagraph"/>
        <w:numPr>
          <w:ilvl w:val="0"/>
          <w:numId w:val="2"/>
        </w:numPr>
        <w:spacing w:after="80"/>
      </w:pPr>
      <w:r>
        <w:rPr>
          <w:rFonts w:ascii="Arial" w:cs="Arial" w:eastAsia="Arial" w:hAnsi="Arial"/>
          <w:color w:val="111827"/>
          <w:sz w:val="19"/>
          <w:szCs w:val="19"/>
        </w:rPr>
        <w:t xml:space="preserve">All ticket updates must be logged in the portal — no resolution by email or chat only.</w:t>
      </w:r>
    </w:p>
    <w:p>
      <w:pPr>
        <w:pStyle w:val="ListParagraph"/>
        <w:numPr>
          <w:ilvl w:val="0"/>
          <w:numId w:val="2"/>
        </w:numPr>
        <w:spacing w:after="80"/>
      </w:pPr>
      <w:r>
        <w:rPr>
          <w:rFonts w:ascii="Arial" w:cs="Arial" w:eastAsia="Arial" w:hAnsi="Arial"/>
          <w:color w:val="111827"/>
          <w:sz w:val="19"/>
          <w:szCs w:val="19"/>
        </w:rPr>
        <w:t xml:space="preserve">States must be notified of any environment change at least 48 hours in advance.</w:t>
      </w:r>
    </w:p>
    <w:p>
      <w:pPr>
        <w:pStyle w:val="ListParagraph"/>
        <w:numPr>
          <w:ilvl w:val="0"/>
          <w:numId w:val="2"/>
        </w:numPr>
        <w:spacing w:after="80"/>
      </w:pPr>
      <w:r>
        <w:rPr>
          <w:rFonts w:ascii="Arial" w:cs="Arial" w:eastAsia="Arial" w:hAnsi="Arial"/>
          <w:color w:val="111827"/>
          <w:sz w:val="19"/>
          <w:szCs w:val="19"/>
        </w:rPr>
        <w:t xml:space="preserve">NGB will publish a monthly support digest: top issues, resolutions, and known patterns.</w:t>
      </w:r>
    </w:p>
    <w:p/>
    <w:p>
      <w:pPr>
        <w:pStyle w:val="Heading1"/>
      </w:pPr>
      <w:r>
        <w:t xml:space="preserve">9. People &amp; Focus</w:t>
      </w:r>
    </w:p>
    <w:p>
      <w:pPr>
        <w:spacing w:after="140"/>
      </w:pPr>
      <w:r>
        <w:rPr>
          <w:rFonts w:ascii="Arial" w:cs="Arial" w:eastAsia="Arial" w:hAnsi="Arial"/>
          <w:color w:val="111827"/>
          <w:sz w:val="20"/>
          <w:szCs w:val="20"/>
        </w:rPr>
        <w:t xml:space="preserve">As of April 2026, all NGB program personnel are focused on Guardian Nexus and Forecast delivery. To preserve this focus, the support model is built around:</w:t>
      </w:r>
    </w:p>
    <w:p/>
    <w:p>
      <w:pPr>
        <w:pStyle w:val="ListParagraph"/>
        <w:numPr>
          <w:ilvl w:val="0"/>
          <w:numId w:val="2"/>
        </w:numPr>
        <w:spacing w:after="80"/>
      </w:pPr>
      <w:r>
        <w:rPr>
          <w:rFonts w:ascii="Arial" w:cs="Arial" w:eastAsia="Arial" w:hAnsi="Arial"/>
          <w:color w:val="111827"/>
          <w:sz w:val="19"/>
          <w:szCs w:val="19"/>
        </w:rPr>
        <w:t xml:space="preserve">State-first resolution: States handle Tier 0 and Tier 1. NGB does not take Tier 1 tickets that should be handled by the state.</w:t>
      </w:r>
    </w:p>
    <w:p>
      <w:pPr>
        <w:pStyle w:val="ListParagraph"/>
        <w:numPr>
          <w:ilvl w:val="0"/>
          <w:numId w:val="2"/>
        </w:numPr>
        <w:spacing w:after="80"/>
      </w:pPr>
      <w:r>
        <w:rPr>
          <w:rFonts w:ascii="Arial" w:cs="Arial" w:eastAsia="Arial" w:hAnsi="Arial"/>
          <w:color w:val="111827"/>
          <w:sz w:val="19"/>
          <w:szCs w:val="19"/>
        </w:rPr>
        <w:t xml:space="preserve">Batched Tier 2 review: Tier 2 issues are triaged in a daily 30-min standup by the NGB Digital Team. No ad-hoc interruptions to product team members.</w:t>
      </w:r>
    </w:p>
    <w:p>
      <w:pPr>
        <w:pStyle w:val="ListParagraph"/>
        <w:numPr>
          <w:ilvl w:val="0"/>
          <w:numId w:val="2"/>
        </w:numPr>
        <w:spacing w:after="80"/>
      </w:pPr>
      <w:r>
        <w:rPr>
          <w:rFonts w:ascii="Arial" w:cs="Arial" w:eastAsia="Arial" w:hAnsi="Arial"/>
          <w:color w:val="111827"/>
          <w:sz w:val="19"/>
          <w:szCs w:val="19"/>
        </w:rPr>
        <w:t xml:space="preserve">Dedicated on-call rotation: One NGB team member is on-call for Critical/High escalations per week. The rotation is published monthly.</w:t>
      </w:r>
    </w:p>
    <w:p>
      <w:pPr>
        <w:pStyle w:val="ListParagraph"/>
        <w:numPr>
          <w:ilvl w:val="0"/>
          <w:numId w:val="2"/>
        </w:numPr>
        <w:spacing w:after="80"/>
      </w:pPr>
      <w:r>
        <w:rPr>
          <w:rFonts w:ascii="Arial" w:cs="Arial" w:eastAsia="Arial" w:hAnsi="Arial"/>
          <w:color w:val="111827"/>
          <w:sz w:val="19"/>
          <w:szCs w:val="19"/>
        </w:rPr>
        <w:t xml:space="preserve">Separation of product work and support work: Product engineers do not take direct support tickets. Issues that require code changes go through the sprint process.</w:t>
      </w:r>
    </w:p>
    <w:p/>
    <w:p>
      <w:pPr>
        <w:pStyle w:val="Heading1"/>
      </w:pPr>
      <w:r>
        <w:t xml:space="preserve">10. State Onboarding Checklist</w:t>
      </w:r>
    </w:p>
    <w:p>
      <w:pPr>
        <w:spacing w:after="140"/>
      </w:pPr>
      <w:r>
        <w:rPr>
          <w:rFonts w:ascii="Arial" w:cs="Arial" w:eastAsia="Arial" w:hAnsi="Arial"/>
          <w:color w:val="111827"/>
          <w:sz w:val="20"/>
          <w:szCs w:val="20"/>
        </w:rPr>
        <w:t xml:space="preserve">Before a state can receive Tier 2+ support, the following must be in place:</w:t>
      </w:r>
    </w:p>
    <w:p>
      <w:pPr>
        <w:pStyle w:val="ListParagraph"/>
        <w:numPr>
          <w:ilvl w:val="0"/>
          <w:numId w:val="2"/>
        </w:numPr>
        <w:spacing w:after="80"/>
      </w:pPr>
      <w:r>
        <w:rPr>
          <w:rFonts w:ascii="Arial" w:cs="Arial" w:eastAsia="Arial" w:hAnsi="Arial"/>
          <w:color w:val="111827"/>
          <w:sz w:val="19"/>
          <w:szCs w:val="19"/>
        </w:rPr>
        <w:t xml:space="preserve">State POC identified and registered in NGB roster</w:t>
      </w:r>
    </w:p>
    <w:p>
      <w:pPr>
        <w:pStyle w:val="ListParagraph"/>
        <w:numPr>
          <w:ilvl w:val="0"/>
          <w:numId w:val="2"/>
        </w:numPr>
        <w:spacing w:after="80"/>
      </w:pPr>
      <w:r>
        <w:rPr>
          <w:rFonts w:ascii="Arial" w:cs="Arial" w:eastAsia="Arial" w:hAnsi="Arial"/>
          <w:color w:val="111827"/>
          <w:sz w:val="19"/>
          <w:szCs w:val="19"/>
        </w:rPr>
        <w:t xml:space="preserve">Power Platform environments provisioned: Dev, Test, Prod (minimum)</w:t>
      </w:r>
    </w:p>
    <w:p>
      <w:pPr>
        <w:pStyle w:val="ListParagraph"/>
        <w:numPr>
          <w:ilvl w:val="0"/>
          <w:numId w:val="2"/>
        </w:numPr>
        <w:spacing w:after="80"/>
      </w:pPr>
      <w:r>
        <w:rPr>
          <w:rFonts w:ascii="Arial" w:cs="Arial" w:eastAsia="Arial" w:hAnsi="Arial"/>
          <w:color w:val="111827"/>
          <w:sz w:val="19"/>
          <w:szCs w:val="19"/>
        </w:rPr>
        <w:t xml:space="preserve">State Power Platform Admin has completed 300-level course</w:t>
      </w:r>
    </w:p>
    <w:p>
      <w:pPr>
        <w:pStyle w:val="ListParagraph"/>
        <w:numPr>
          <w:ilvl w:val="0"/>
          <w:numId w:val="2"/>
        </w:numPr>
        <w:spacing w:after="80"/>
      </w:pPr>
      <w:r>
        <w:rPr>
          <w:rFonts w:ascii="Arial" w:cs="Arial" w:eastAsia="Arial" w:hAnsi="Arial"/>
          <w:color w:val="111827"/>
          <w:sz w:val="19"/>
          <w:szCs w:val="19"/>
        </w:rPr>
        <w:t xml:space="preserve">State has signed DaaS Data Sharing Agreement</w:t>
      </w:r>
    </w:p>
    <w:p>
      <w:pPr>
        <w:pStyle w:val="ListParagraph"/>
        <w:numPr>
          <w:ilvl w:val="0"/>
          <w:numId w:val="2"/>
        </w:numPr>
        <w:spacing w:after="80"/>
      </w:pPr>
      <w:r>
        <w:rPr>
          <w:rFonts w:ascii="Arial" w:cs="Arial" w:eastAsia="Arial" w:hAnsi="Arial"/>
          <w:color w:val="111827"/>
          <w:sz w:val="19"/>
          <w:szCs w:val="19"/>
        </w:rPr>
        <w:t xml:space="preserve">Guardian Nexus deployed and state users onboarded</w:t>
      </w:r>
    </w:p>
    <w:p>
      <w:pPr>
        <w:pStyle w:val="ListParagraph"/>
        <w:numPr>
          <w:ilvl w:val="0"/>
          <w:numId w:val="2"/>
        </w:numPr>
        <w:spacing w:after="80"/>
      </w:pPr>
      <w:r>
        <w:rPr>
          <w:rFonts w:ascii="Arial" w:cs="Arial" w:eastAsia="Arial" w:hAnsi="Arial"/>
          <w:color w:val="111827"/>
          <w:sz w:val="19"/>
          <w:szCs w:val="19"/>
        </w:rPr>
        <w:t xml:space="preserve">Forecast access provisioned for designated state users</w:t>
      </w:r>
    </w:p>
    <w:p>
      <w:pPr>
        <w:pStyle w:val="ListParagraph"/>
        <w:numPr>
          <w:ilvl w:val="0"/>
          <w:numId w:val="2"/>
        </w:numPr>
        <w:spacing w:after="80"/>
      </w:pPr>
      <w:r>
        <w:rPr>
          <w:rFonts w:ascii="Arial" w:cs="Arial" w:eastAsia="Arial" w:hAnsi="Arial"/>
          <w:color w:val="111827"/>
          <w:sz w:val="19"/>
          <w:szCs w:val="19"/>
        </w:rPr>
        <w:t xml:space="preserve">Ticket portal account created and tested</w:t>
      </w:r>
    </w:p>
    <w:p>
      <w:pPr>
        <w:pStyle w:val="ListParagraph"/>
        <w:numPr>
          <w:ilvl w:val="0"/>
          <w:numId w:val="2"/>
        </w:numPr>
        <w:spacing w:after="80"/>
      </w:pPr>
      <w:r>
        <w:rPr>
          <w:rFonts w:ascii="Arial" w:cs="Arial" w:eastAsia="Arial" w:hAnsi="Arial"/>
          <w:color w:val="111827"/>
          <w:sz w:val="19"/>
          <w:szCs w:val="19"/>
        </w:rPr>
        <w:t xml:space="preserve">State attended at least one monthly sync call</w:t>
      </w:r>
    </w:p>
    <w:p/>
    <w:p>
      <w:pPr>
        <w:pStyle w:val="Heading1"/>
      </w:pPr>
      <w:r>
        <w:t xml:space="preserve">11. Key Metrics &amp; Reporting</w:t>
      </w:r>
    </w:p>
    <w:p>
      <w:pPr>
        <w:spacing w:after="140"/>
      </w:pPr>
      <w:r>
        <w:rPr>
          <w:rFonts w:ascii="Arial" w:cs="Arial" w:eastAsia="Arial" w:hAnsi="Arial"/>
          <w:color w:val="111827"/>
          <w:sz w:val="20"/>
          <w:szCs w:val="20"/>
        </w:rPr>
        <w:t xml:space="preserve">The following metrics will be tracked monthly and reported to program leadership:</w:t>
      </w:r>
    </w:p>
    <w:p>
      <w:pPr>
        <w:pStyle w:val="ListParagraph"/>
        <w:numPr>
          <w:ilvl w:val="0"/>
          <w:numId w:val="2"/>
        </w:numPr>
        <w:spacing w:after="80"/>
      </w:pPr>
      <w:r>
        <w:rPr>
          <w:rFonts w:ascii="Arial" w:cs="Arial" w:eastAsia="Arial" w:hAnsi="Arial"/>
          <w:color w:val="111827"/>
          <w:sz w:val="19"/>
          <w:szCs w:val="19"/>
        </w:rPr>
        <w:t xml:space="preserve">Ticket volume by tier, state, and product</w:t>
      </w:r>
    </w:p>
    <w:p>
      <w:pPr>
        <w:pStyle w:val="ListParagraph"/>
        <w:numPr>
          <w:ilvl w:val="0"/>
          <w:numId w:val="2"/>
        </w:numPr>
        <w:spacing w:after="80"/>
      </w:pPr>
      <w:r>
        <w:rPr>
          <w:rFonts w:ascii="Arial" w:cs="Arial" w:eastAsia="Arial" w:hAnsi="Arial"/>
          <w:color w:val="111827"/>
          <w:sz w:val="19"/>
          <w:szCs w:val="19"/>
        </w:rPr>
        <w:t xml:space="preserve">SLA compliance rate by tier and priority</w:t>
      </w:r>
    </w:p>
    <w:p>
      <w:pPr>
        <w:pStyle w:val="ListParagraph"/>
        <w:numPr>
          <w:ilvl w:val="0"/>
          <w:numId w:val="2"/>
        </w:numPr>
        <w:spacing w:after="80"/>
      </w:pPr>
      <w:r>
        <w:rPr>
          <w:rFonts w:ascii="Arial" w:cs="Arial" w:eastAsia="Arial" w:hAnsi="Arial"/>
          <w:color w:val="111827"/>
          <w:sz w:val="19"/>
          <w:szCs w:val="19"/>
        </w:rPr>
        <w:t xml:space="preserve">Time to Tier 2 escalation (should be decreasing as state CoEs mature)</w:t>
      </w:r>
    </w:p>
    <w:p>
      <w:pPr>
        <w:pStyle w:val="ListParagraph"/>
        <w:numPr>
          <w:ilvl w:val="0"/>
          <w:numId w:val="2"/>
        </w:numPr>
        <w:spacing w:after="80"/>
      </w:pPr>
      <w:r>
        <w:rPr>
          <w:rFonts w:ascii="Arial" w:cs="Arial" w:eastAsia="Arial" w:hAnsi="Arial"/>
          <w:color w:val="111827"/>
          <w:sz w:val="19"/>
          <w:szCs w:val="19"/>
        </w:rPr>
        <w:t xml:space="preserve">States with open Critical/High tickets older than SLA threshold</w:t>
      </w:r>
    </w:p>
    <w:p>
      <w:pPr>
        <w:pStyle w:val="ListParagraph"/>
        <w:numPr>
          <w:ilvl w:val="0"/>
          <w:numId w:val="2"/>
        </w:numPr>
        <w:spacing w:after="80"/>
      </w:pPr>
      <w:r>
        <w:rPr>
          <w:rFonts w:ascii="Arial" w:cs="Arial" w:eastAsia="Arial" w:hAnsi="Arial"/>
          <w:color w:val="111827"/>
          <w:sz w:val="19"/>
          <w:szCs w:val="19"/>
        </w:rPr>
        <w:t xml:space="preserve">Training completion rate by state (feeds 300-level course tracking)</w:t>
      </w:r>
    </w:p>
    <w:p>
      <w:pPr>
        <w:pStyle w:val="ListParagraph"/>
        <w:numPr>
          <w:ilvl w:val="0"/>
          <w:numId w:val="2"/>
        </w:numPr>
        <w:spacing w:after="80"/>
      </w:pPr>
      <w:r>
        <w:rPr>
          <w:rFonts w:ascii="Arial" w:cs="Arial" w:eastAsia="Arial" w:hAnsi="Arial"/>
          <w:color w:val="111827"/>
          <w:sz w:val="19"/>
          <w:szCs w:val="19"/>
        </w:rPr>
        <w:t xml:space="preserve">Guardian Nexus and Forecast uptime and incident count</w:t>
      </w:r>
    </w:p>
    <w:p/>
    <w:p>
      <w:pPr>
        <w:pStyle w:val="Heading1"/>
      </w:pPr>
      <w:r>
        <w:t xml:space="preserve">12. Next Steps</w:t>
      </w:r>
    </w:p>
    <w:p>
      <w:pPr>
        <w:pStyle w:val="ListParagraph"/>
        <w:numPr>
          <w:ilvl w:val="0"/>
          <w:numId w:val="2"/>
        </w:numPr>
        <w:spacing w:after="80"/>
      </w:pPr>
      <w:r>
        <w:rPr>
          <w:rFonts w:ascii="Arial" w:cs="Arial" w:eastAsia="Arial" w:hAnsi="Arial"/>
          <w:color w:val="111827"/>
          <w:sz w:val="19"/>
          <w:szCs w:val="19"/>
        </w:rPr>
        <w:t xml:space="preserve">Complete state roster: Identify POCs, admins, and data stewards for all 54 entities. Target: 30 days.</w:t>
      </w:r>
    </w:p>
    <w:p>
      <w:pPr>
        <w:pStyle w:val="ListParagraph"/>
        <w:numPr>
          <w:ilvl w:val="0"/>
          <w:numId w:val="2"/>
        </w:numPr>
        <w:spacing w:after="80"/>
      </w:pPr>
      <w:r>
        <w:rPr>
          <w:rFonts w:ascii="Arial" w:cs="Arial" w:eastAsia="Arial" w:hAnsi="Arial"/>
          <w:color w:val="111827"/>
          <w:sz w:val="19"/>
          <w:szCs w:val="19"/>
        </w:rPr>
        <w:t xml:space="preserve">Stand up ticket portal: Configure inbound routing logic for all four products. Target: 45 days.</w:t>
      </w:r>
    </w:p>
    <w:p>
      <w:pPr>
        <w:pStyle w:val="ListParagraph"/>
        <w:numPr>
          <w:ilvl w:val="0"/>
          <w:numId w:val="2"/>
        </w:numPr>
        <w:spacing w:after="80"/>
      </w:pPr>
      <w:r>
        <w:rPr>
          <w:rFonts w:ascii="Arial" w:cs="Arial" w:eastAsia="Arial" w:hAnsi="Arial"/>
          <w:color w:val="111827"/>
          <w:sz w:val="19"/>
          <w:szCs w:val="19"/>
        </w:rPr>
        <w:t xml:space="preserve">Publish on-call rotation for April/May: Assign NGB team members to Tier 2 on-call. Target: This week.</w:t>
      </w:r>
    </w:p>
    <w:p>
      <w:pPr>
        <w:pStyle w:val="ListParagraph"/>
        <w:numPr>
          <w:ilvl w:val="0"/>
          <w:numId w:val="2"/>
        </w:numPr>
        <w:spacing w:after="80"/>
      </w:pPr>
      <w:r>
        <w:rPr>
          <w:rFonts w:ascii="Arial" w:cs="Arial" w:eastAsia="Arial" w:hAnsi="Arial"/>
          <w:color w:val="111827"/>
          <w:sz w:val="19"/>
          <w:szCs w:val="19"/>
        </w:rPr>
        <w:t xml:space="preserve">Identify bottom 10 states by Power Platform maturity: Build targeted onboarding plans. Target: 30 days.</w:t>
      </w:r>
    </w:p>
    <w:p>
      <w:pPr>
        <w:pStyle w:val="ListParagraph"/>
        <w:numPr>
          <w:ilvl w:val="0"/>
          <w:numId w:val="2"/>
        </w:numPr>
        <w:spacing w:after="80"/>
      </w:pPr>
      <w:r>
        <w:rPr>
          <w:rFonts w:ascii="Arial" w:cs="Arial" w:eastAsia="Arial" w:hAnsi="Arial"/>
          <w:color w:val="111827"/>
          <w:sz w:val="19"/>
          <w:szCs w:val="19"/>
        </w:rPr>
        <w:t xml:space="preserve">Define DaaS Data Sharing Agreement template: Legal review and sign-off. Target: 60 days.</w:t>
      </w:r>
    </w:p>
    <w:p>
      <w:pPr>
        <w:pStyle w:val="ListParagraph"/>
        <w:numPr>
          <w:ilvl w:val="0"/>
          <w:numId w:val="2"/>
        </w:numPr>
        <w:spacing w:after="80"/>
      </w:pPr>
      <w:r>
        <w:rPr>
          <w:rFonts w:ascii="Arial" w:cs="Arial" w:eastAsia="Arial" w:hAnsi="Arial"/>
          <w:color w:val="111827"/>
          <w:sz w:val="19"/>
          <w:szCs w:val="19"/>
        </w:rPr>
        <w:t xml:space="preserve">Publish monthly state sync agenda and invite all 54 POCs. Target: Next cycle.</w:t>
      </w:r>
    </w:p>
    <w:p/>
    <w:p>
      <w:pPr>
        <w:pStyle w:val="Heading1"/>
      </w:pPr>
      <w:r>
        <w:t xml:space="preserve">13. Open Questions</w:t>
      </w:r>
    </w:p>
    <w:p>
      <w:pPr>
        <w:spacing w:after="140"/>
      </w:pPr>
      <w:r>
        <w:rPr>
          <w:rFonts w:ascii="Arial" w:cs="Arial" w:eastAsia="Arial" w:hAnsi="Arial"/>
          <w:color w:val="111827"/>
          <w:sz w:val="20"/>
          <w:szCs w:val="20"/>
        </w:rPr>
        <w:t xml:space="preserve">The following questions are unresolved and logged in the Running Questions Log for follow-up:</w:t>
      </w:r>
    </w:p>
    <w:p>
      <w:pPr>
        <w:pStyle w:val="ListParagraph"/>
        <w:numPr>
          <w:ilvl w:val="0"/>
          <w:numId w:val="2"/>
        </w:numPr>
        <w:spacing w:after="80"/>
      </w:pPr>
      <w:r>
        <w:rPr>
          <w:rFonts w:ascii="Arial" w:cs="Arial" w:eastAsia="Arial" w:hAnsi="Arial"/>
          <w:color w:val="111827"/>
          <w:sz w:val="19"/>
          <w:szCs w:val="19"/>
        </w:rPr>
        <w:t xml:space="preserve">Who owns the DaaS layer — NGB or states? (Questions Log #2)</w:t>
      </w:r>
    </w:p>
    <w:p>
      <w:pPr>
        <w:pStyle w:val="ListParagraph"/>
        <w:numPr>
          <w:ilvl w:val="0"/>
          <w:numId w:val="2"/>
        </w:numPr>
        <w:spacing w:after="80"/>
      </w:pPr>
      <w:r>
        <w:rPr>
          <w:rFonts w:ascii="Arial" w:cs="Arial" w:eastAsia="Arial" w:hAnsi="Arial"/>
          <w:color w:val="111827"/>
          <w:sz w:val="19"/>
          <w:szCs w:val="19"/>
        </w:rPr>
        <w:t xml:space="preserve">What SLA targets apply to Forecast specifically? (Questions Log #6)</w:t>
      </w:r>
    </w:p>
    <w:p>
      <w:pPr>
        <w:pStyle w:val="ListParagraph"/>
        <w:numPr>
          <w:ilvl w:val="0"/>
          <w:numId w:val="2"/>
        </w:numPr>
        <w:spacing w:after="80"/>
      </w:pPr>
      <w:r>
        <w:rPr>
          <w:rFonts w:ascii="Arial" w:cs="Arial" w:eastAsia="Arial" w:hAnsi="Arial"/>
          <w:color w:val="111827"/>
          <w:sz w:val="19"/>
          <w:szCs w:val="19"/>
        </w:rPr>
        <w:t xml:space="preserve">What is the Tier 1 path for Guardian Nexus issues when the state POC is unavailable? (Questions Log #3)</w:t>
      </w:r>
    </w:p>
    <w:p>
      <w:pPr>
        <w:pStyle w:val="ListParagraph"/>
        <w:numPr>
          <w:ilvl w:val="0"/>
          <w:numId w:val="2"/>
        </w:numPr>
        <w:spacing w:after="80"/>
      </w:pPr>
      <w:r>
        <w:rPr>
          <w:rFonts w:ascii="Arial" w:cs="Arial" w:eastAsia="Arial" w:hAnsi="Arial"/>
          <w:color w:val="111827"/>
          <w:sz w:val="19"/>
          <w:szCs w:val="19"/>
        </w:rPr>
        <w:t xml:space="preserve">Which states are furthest behind on Power Platform adoption? (Questions Log #5)</w:t>
      </w:r>
    </w:p>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pPr>
    <w:r>
      <w:rPr>
        <w:rFonts w:ascii="Arial" w:cs="Arial" w:eastAsia="Arial" w:hAnsi="Arial"/>
        <w:color w:val="9CA3AF"/>
        <w:sz w:val="16"/>
        <w:szCs w:val="16"/>
      </w:rPr>
      <w:t xml:space="preserve">NGB Digital Transformation Office  |  FOUO — Not for Public Distribution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6" w:space="1"/>
      </w:pBdr>
      <w:tabs>
        <w:tab w:val="right" w:pos="9026"/>
      </w:tabs>
    </w:pPr>
    <w:r>
      <w:rPr>
        <w:rFonts w:ascii="Arial" w:cs="Arial" w:eastAsia="Arial" w:hAnsi="Arial"/>
        <w:b/>
        <w:bCs/>
        <w:color w:val="1E3A5F"/>
        <w:sz w:val="18"/>
        <w:szCs w:val="18"/>
      </w:rPr>
      <w:t xml:space="preserve">ARNG Power Platform Program — Support Strategy for the 54</w:t>
    </w:r>
    <w:r>
      <w:t xml:space="preserve">	</w:t>
    </w:r>
    <w:r>
      <w:rPr>
        <w:rFonts w:ascii="Arial" w:cs="Arial" w:eastAsia="Arial" w:hAnsi="Arial"/>
        <w:i/>
        <w:iCs/>
        <w:color w:val="9CA3AF"/>
        <w:sz w:val="16"/>
        <w:szCs w:val="16"/>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97706"/>
      </w:rPr>
    </w:lvl>
    <w:lvl w:ilvl="1" w15:tentative="1">
      <w:start w:val="1"/>
      <w:numFmt w:val="bullet"/>
      <w:lvlText w:val="◦"/>
      <w:lvlJc w:val="left"/>
      <w:pPr>
        <w:ind w:left="1080" w:hanging="360"/>
      </w:pPr>
      <w:rPr>
        <w:color w:val="D9770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8" w:space="3"/>
      </w:pBd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D9770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2026-04-02T17:57:36.065Z</dcterms:created>
  <dcterms:modified xsi:type="dcterms:W3CDTF">2026-04-02T17:57:36.065Z</dcterms:modified>
</cp:coreProperties>
</file>

<file path=docProps/custom.xml><?xml version="1.0" encoding="utf-8"?>
<Properties xmlns="http://schemas.openxmlformats.org/officeDocument/2006/custom-properties" xmlns:vt="http://schemas.openxmlformats.org/officeDocument/2006/docPropsVTypes"/>
</file>