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E6BCE">
              <w:t>I</w:t>
            </w:r>
            <w:r w:rsidR="00087A0F" w:rsidRPr="00087A0F">
              <w:t xml:space="preserve">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527659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>The sparsity</w:t>
      </w:r>
      <w:r w:rsidR="00E855B5">
        <w:t xml:space="preserve"> problem</w:t>
      </w:r>
      <w:r w:rsidR="00A52649">
        <w:t xml:space="preserve">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>; scRNA-seq data</w:t>
      </w:r>
      <w:r w:rsidR="00A52649">
        <w:t xml:space="preserve"> sets are </w:t>
      </w:r>
      <w:r w:rsidR="00E855B5">
        <w:t xml:space="preserve">often </w:t>
      </w:r>
      <w:r w:rsidR="00527659">
        <w:t xml:space="preserve">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</w:t>
      </w:r>
      <w:r w:rsidR="00E855B5">
        <w:t>or</w:t>
      </w:r>
      <w:r w:rsidR="00F14B10">
        <w:t xml:space="preserve"> trajectory analysis,</w:t>
      </w:r>
      <w:r w:rsidR="005504AD">
        <w:t xml:space="preserve"> </w:t>
      </w:r>
      <w:r w:rsidR="00E855B5">
        <w:t xml:space="preserve">gene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</w:t>
      </w:r>
      <w:r w:rsidR="00E855B5">
        <w:t xml:space="preserve"> to harmonize the data</w:t>
      </w:r>
      <w:r w:rsidR="00F14B10">
        <w:t xml:space="preserve">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</w:t>
      </w:r>
      <w:r w:rsidR="00D54073">
        <w:t xml:space="preserve">such as </w:t>
      </w:r>
      <w:r w:rsidR="00607782">
        <w:t>R and python</w:t>
      </w:r>
      <w:r w:rsidR="004E7C28">
        <w:t>; few tools</w:t>
      </w:r>
      <w:r w:rsidR="00D10FDF">
        <w:t>,</w:t>
      </w:r>
      <w:r w:rsidR="004E7C28">
        <w:t xml:space="preserve"> </w:t>
      </w:r>
      <w:r w:rsidR="00D10FDF">
        <w:t xml:space="preserve">except e.g., </w:t>
      </w:r>
      <w:bookmarkStart w:id="0" w:name="_GoBack"/>
      <w:proofErr w:type="spellStart"/>
      <w:r w:rsidR="00D10FDF">
        <w:t>SCell</w:t>
      </w:r>
      <w:proofErr w:type="spellEnd"/>
      <w:r w:rsidR="00D10FDF">
        <w:t xml:space="preserve"> </w:t>
      </w:r>
      <w:r w:rsidR="00D10FDF">
        <w:fldChar w:fldCharType="begin"/>
      </w:r>
      <w:r w:rsidR="00D10FDF">
        <w:instrText xml:space="preserve"> ADDIN EN.CITE &lt;EndNote&gt;&lt;Cite&gt;&lt;Author&gt;Diaz&lt;/Author&gt;&lt;Year&gt;2016&lt;/Year&gt;&lt;RecNum&gt;6934&lt;/RecNum&gt;&lt;DisplayText&gt;(Diaz, et al., 2016)&lt;/DisplayText&gt;&lt;record&gt;&lt;rec-number&gt;6934&lt;/rec-number&gt;&lt;foreign-keys&gt;&lt;key app="EN" db-id="d9pv9etr4pzxfmexf2jpt0xnd5ed50tvvd59" timestamp="1568497566"&gt;6934&lt;/key&gt;&lt;/foreign-keys&gt;&lt;ref-type name="Journal Article"&gt;17&lt;/ref-type&gt;&lt;contributors&gt;&lt;authors&gt;&lt;author&gt;Diaz, A.&lt;/author&gt;&lt;author&gt;Liu, S. J.&lt;/author&gt;&lt;author&gt;Sandoval, C.&lt;/author&gt;&lt;author&gt;Pollen, A.&lt;/author&gt;&lt;author&gt;Nowakowski, T. J.&lt;/author&gt;&lt;author&gt;Lim, D. A.&lt;/author&gt;&lt;author&gt;Kriegstein, A.&lt;/author&gt;&lt;/authors&gt;&lt;/contributors&gt;&lt;auth-address&gt;Department of Neurological Surgery, UCSF Eli and Edythe Broad Center of Regeneration Medicine and Stem Cell Research.&amp;#xD;Eli and Edythe Broad Center of Regeneration Medicine and Stem Cell Research.&amp;#xD;Department of Neurological Surgery, UCSF Eli and Edythe Broad Center of Regeneration Medicine and Stem Cell Research Eli and Edythe Broad Center of Regeneration Medicine and Stem Cell Research.&lt;/auth-address&gt;&lt;titles&gt;&lt;title&gt;SCell: integrated analysis of single-cell RNA-seq data&lt;/title&gt;&lt;secondary-title&gt;Bioinformatics&lt;/secondary-title&gt;&lt;/titles&gt;&lt;periodical&gt;&lt;full-title&gt;Bioinformatics&lt;/full-title&gt;&lt;/periodical&gt;&lt;pages&gt;2219-20&lt;/pages&gt;&lt;volume&gt;32&lt;/volume&gt;&lt;number&gt;14&lt;/number&gt;&lt;edition&gt;2016/05/07&lt;/edition&gt;&lt;keywords&gt;&lt;keyword&gt;High-Throughput Nucleotide Sequencing&lt;/keyword&gt;&lt;keyword&gt;Rna&lt;/keyword&gt;&lt;keyword&gt;*Sequence Analysis, RNA&lt;/keyword&gt;&lt;keyword&gt;*Single-Cell Analysis&lt;/keyword&gt;&lt;keyword&gt;*Software&lt;/keyword&gt;&lt;/keywords&gt;&lt;dates&gt;&lt;year&gt;2016&lt;/year&gt;&lt;pub-dates&gt;&lt;date&gt;Jul 15&lt;/date&gt;&lt;/pub-dates&gt;&lt;/dates&gt;&lt;isbn&gt;1367-4811 (Electronic)&amp;#xD;1367-4803 (Linking)&lt;/isbn&gt;&lt;accession-num&gt;27153637&lt;/accession-num&gt;&lt;urls&gt;&lt;related-urls&gt;&lt;url&gt;https://www.ncbi.nlm.nih.gov/pubmed/27153637&lt;/url&gt;&lt;/related-urls&gt;&lt;/urls&gt;&lt;custom2&gt;PMC4937196&lt;/custom2&gt;&lt;electronic-resource-num&gt;10.1093/bioinformatics/btw201&lt;/electronic-resource-num&gt;&lt;/record&gt;&lt;/Cite&gt;&lt;/EndNote&gt;</w:instrText>
      </w:r>
      <w:r w:rsidR="00D10FDF">
        <w:fldChar w:fldCharType="separate"/>
      </w:r>
      <w:r w:rsidR="00D10FDF">
        <w:rPr>
          <w:noProof/>
        </w:rPr>
        <w:t>(Diaz, et al., 2016)</w:t>
      </w:r>
      <w:r w:rsidR="00D10FDF">
        <w:fldChar w:fldCharType="end"/>
      </w:r>
      <w:r w:rsidR="00D10FDF">
        <w:t xml:space="preserve"> and SCUBA </w:t>
      </w:r>
      <w:r w:rsidR="00D10FDF">
        <w:fldChar w:fldCharType="begin">
          <w:fldData xml:space="preserve">PEVuZE5vdGU+PENpdGU+PEF1dGhvcj5NYXJjbzwvQXV0aG9yPjxZZWFyPjIwMTQ8L1llYXI+PFJl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</w:fldData>
        </w:fldChar>
      </w:r>
      <w:r w:rsidR="00D10FDF">
        <w:instrText xml:space="preserve"> ADDIN EN.CITE </w:instrText>
      </w:r>
      <w:r w:rsidR="00D10FDF">
        <w:fldChar w:fldCharType="begin">
          <w:fldData xml:space="preserve">PEVuZE5vdGU+PENpdGU+PEF1dGhvcj5NYXJjbzwvQXV0aG9yPjxZZWFyPjIwMTQ8L1llYXI+PFJl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</w:fldData>
        </w:fldChar>
      </w:r>
      <w:r w:rsidR="00D10FDF">
        <w:instrText xml:space="preserve"> ADDIN EN.CITE.DATA </w:instrText>
      </w:r>
      <w:r w:rsidR="00D10FDF">
        <w:fldChar w:fldCharType="end"/>
      </w:r>
      <w:r w:rsidR="00D10FDF">
        <w:fldChar w:fldCharType="separate"/>
      </w:r>
      <w:r w:rsidR="00D10FDF">
        <w:rPr>
          <w:noProof/>
        </w:rPr>
        <w:t>(Marco, et al., 2014)</w:t>
      </w:r>
      <w:r w:rsidR="00D10FDF">
        <w:fldChar w:fldCharType="end"/>
      </w:r>
      <w:r w:rsidR="00D10FDF">
        <w:t xml:space="preserve">, </w:t>
      </w:r>
      <w:bookmarkEnd w:id="0"/>
      <w:r w:rsidR="004E7C28">
        <w:t xml:space="preserve">are developed in </w:t>
      </w:r>
      <w:proofErr w:type="spellStart"/>
      <w:r w:rsidR="004E7C28">
        <w:t>Matlab</w:t>
      </w:r>
      <w:proofErr w:type="spellEnd"/>
      <w:r w:rsidR="004E7C28">
        <w:t xml:space="preserve">, </w:t>
      </w:r>
      <w:r w:rsidR="004E7C28" w:rsidRPr="00607782">
        <w:t xml:space="preserve">a scientific programming language </w:t>
      </w:r>
      <w:r w:rsidR="004E7C28" w:rsidRPr="00607782">
        <w:t>and provides strong mathematical and numerical support for the implementation of advanced algorithms</w:t>
      </w:r>
      <w:r w:rsidR="004E7C28">
        <w:t>. The</w:t>
      </w:r>
      <w:r w:rsidR="00607782" w:rsidRPr="00607782">
        <w:t xml:space="preserve"> basic data element</w:t>
      </w:r>
      <w:r w:rsidR="004E7C28">
        <w:t xml:space="preserve"> of </w:t>
      </w:r>
      <w:proofErr w:type="spellStart"/>
      <w:r w:rsidR="004E7C28">
        <w:t>Matlab</w:t>
      </w:r>
      <w:proofErr w:type="spellEnd"/>
      <w:r w:rsidR="00607782" w:rsidRPr="00607782">
        <w:t xml:space="preserve"> is the matrix</w:t>
      </w:r>
      <w:r w:rsidR="00607782">
        <w:t xml:space="preserve">; </w:t>
      </w:r>
      <w:r w:rsidR="00607782" w:rsidRPr="00607782">
        <w:t xml:space="preserve">mathematical operations that work on arrays or matrices are built-in to the </w:t>
      </w:r>
      <w:proofErr w:type="spellStart"/>
      <w:r w:rsidR="00607782" w:rsidRPr="00607782">
        <w:t>Matlab</w:t>
      </w:r>
      <w:proofErr w:type="spellEnd"/>
      <w:r w:rsidR="00607782" w:rsidRPr="00607782">
        <w:t xml:space="preserve"> environment</w:t>
      </w:r>
      <w:r w:rsidR="00C46F86">
        <w:t>.</w:t>
      </w:r>
      <w:r w:rsidR="00607782">
        <w:t xml:space="preserve"> </w:t>
      </w:r>
      <w:proofErr w:type="spellStart"/>
      <w:r w:rsidR="00607782" w:rsidRPr="00607782">
        <w:t>Matlab</w:t>
      </w:r>
      <w:proofErr w:type="spellEnd"/>
      <w:r w:rsidR="00607782" w:rsidRPr="00607782">
        <w:t xml:space="preserve"> </w:t>
      </w:r>
      <w:r w:rsidR="00D54073">
        <w:t>comes with</w:t>
      </w:r>
      <w:r w:rsidR="00607782" w:rsidRPr="00607782">
        <w:t xml:space="preserve"> many </w:t>
      </w:r>
      <w:r w:rsidR="00834F54">
        <w:t>toolboxes</w:t>
      </w:r>
      <w:r w:rsidR="008058F0">
        <w:t>,</w:t>
      </w:r>
      <w:r w:rsidR="00607782"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 xml:space="preserve">. </w:t>
      </w:r>
      <w:r w:rsidR="008620FB">
        <w:t>Up to date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="00607782" w:rsidRPr="00607782">
        <w:t>.</w:t>
      </w:r>
      <w:r w:rsidR="00607782"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 w:rsidR="00607782"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8620FB">
        <w:t xml:space="preserve">for such </w:t>
      </w:r>
      <w:r w:rsidR="00607782">
        <w:t>data analys</w:t>
      </w:r>
      <w:r w:rsidR="008620FB">
        <w:t>es</w:t>
      </w:r>
      <w:r w:rsidR="00607782">
        <w:t xml:space="preserve">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3361" w:rsidRDefault="00EE6BCE" w:rsidP="00A50E4D">
      <w:pPr>
        <w:pStyle w:val="para1"/>
        <w:ind w:firstLine="0"/>
      </w:pPr>
      <w:r>
        <w:t>I</w:t>
      </w:r>
      <w:r w:rsidR="00834F54">
        <w:t xml:space="preserve"> developed </w:t>
      </w:r>
      <w:proofErr w:type="spellStart"/>
      <w:r w:rsidR="00834F54">
        <w:t>scGEAToolbox</w:t>
      </w:r>
      <w:proofErr w:type="spellEnd"/>
      <w:r w:rsidR="00834F54">
        <w:t xml:space="preserve"> using </w:t>
      </w:r>
      <w:proofErr w:type="spellStart"/>
      <w:r w:rsidR="00834F54" w:rsidRPr="001274D2">
        <w:t>M</w:t>
      </w:r>
      <w:r w:rsidR="00834F54">
        <w:t>atlab</w:t>
      </w:r>
      <w:proofErr w:type="spellEnd"/>
      <w:r w:rsidR="00834F54">
        <w:t xml:space="preserve"> v</w:t>
      </w:r>
      <w:r w:rsidR="00834F54" w:rsidRPr="001274D2">
        <w:t>9.5</w:t>
      </w:r>
      <w:r w:rsidR="00834F54">
        <w:t xml:space="preserve"> (</w:t>
      </w:r>
      <w:r w:rsidR="00834F54" w:rsidRPr="001274D2">
        <w:t>R2018b)</w:t>
      </w:r>
      <w:r w:rsidR="00834F54">
        <w:t xml:space="preserve">. Functions in </w:t>
      </w:r>
      <w:proofErr w:type="spellStart"/>
      <w:r w:rsidR="00834F54">
        <w:t>scGEAToolbox</w:t>
      </w:r>
      <w:proofErr w:type="spellEnd"/>
      <w:r w:rsidR="00834F54">
        <w:t xml:space="preserve"> </w:t>
      </w:r>
      <w:r w:rsidR="00834F54" w:rsidRPr="006E2E26">
        <w:rPr>
          <w:noProof/>
        </w:rPr>
        <w:t>are written</w:t>
      </w:r>
      <w:r w:rsidR="00834F54">
        <w:t xml:space="preserve"> in native </w:t>
      </w:r>
      <w:proofErr w:type="spellStart"/>
      <w:r w:rsidR="00834F54">
        <w:t>Matlab</w:t>
      </w:r>
      <w:proofErr w:type="spellEnd"/>
      <w:r w:rsidR="008058F0">
        <w:t>,</w:t>
      </w:r>
      <w:r w:rsidR="00834F54">
        <w:t xml:space="preserve"> </w:t>
      </w:r>
      <w:r w:rsidR="00834F54" w:rsidRPr="006E2E26">
        <w:rPr>
          <w:noProof/>
        </w:rPr>
        <w:t>and</w:t>
      </w:r>
      <w:r w:rsidR="00834F54">
        <w:t xml:space="preserve"> the app GUIs </w:t>
      </w:r>
      <w:r w:rsidR="00834F54" w:rsidRPr="006E2E26">
        <w:rPr>
          <w:noProof/>
        </w:rPr>
        <w:t>are created</w:t>
      </w:r>
      <w:r w:rsidR="00834F54"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number of genes and </w:t>
      </w:r>
      <w:r w:rsidR="009F4495" w:rsidRPr="009F4495">
        <w:rPr>
          <w:i/>
        </w:rPr>
        <w:t>m</w:t>
      </w:r>
      <w:r w:rsidR="009F4495" w:rsidRPr="009F4495">
        <w:t xml:space="preserve"> the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</w:t>
      </w:r>
      <w:r w:rsidR="001F0C40">
        <w:t xml:space="preserve"> the</w:t>
      </w:r>
      <w:r w:rsidR="007D3E21">
        <w:t xml:space="preserve">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categories of </w:t>
      </w:r>
      <w:r w:rsidR="003901AA"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15240</wp:posOffset>
                </wp:positionH>
                <wp:positionV relativeFrom="margin">
                  <wp:posOffset>-116205</wp:posOffset>
                </wp:positionV>
                <wp:extent cx="2987040" cy="2637790"/>
                <wp:effectExtent l="0" t="0" r="22860" b="101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7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1" w:name="_Hlk14554358"/>
                            <w:bookmarkEnd w:id="1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022CBC">
                            <w:pPr>
                              <w:pStyle w:val="FigureCaption"/>
                              <w:spacing w:after="360"/>
                              <w:jc w:val="left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="003901AA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="007A131F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7A131F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  <w:r w:rsidR="003901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r w:rsidR="003901AA" w:rsidRPr="00022CBC">
                              <w:rPr>
                                <w:b/>
                                <w:sz w:val="13"/>
                                <w:szCs w:val="13"/>
                              </w:rPr>
                              <w:t>a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 Two example p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anels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of the main GUI </w:t>
                            </w:r>
                            <w:proofErr w:type="spellStart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;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 (</w:t>
                            </w:r>
                            <w:r w:rsidR="003901AA" w:rsidRPr="00022CBC">
                              <w:rPr>
                                <w:b/>
                                <w:sz w:val="13"/>
                                <w:szCs w:val="13"/>
                              </w:rPr>
                              <w:t>b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)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A 3-D scatter plot showing genes whose position is determined by µ, CV and </w:t>
                            </w:r>
                            <w:proofErr w:type="spellStart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r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drop</w:t>
                            </w:r>
                            <w:proofErr w:type="spellEnd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; (</w:t>
                            </w:r>
                            <w:r w:rsidR="007A131F" w:rsidRPr="00022CBC">
                              <w:rPr>
                                <w:b/>
                                <w:sz w:val="13"/>
                                <w:szCs w:val="13"/>
                              </w:rPr>
                              <w:t>c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) A stem plot showing expression level of 50 selected genes across 2000 cells: 1000 in one state (blue) and the other 1000 in </w:t>
                            </w:r>
                            <w:r w:rsidR="00022CBC" w:rsidRPr="00022CBC">
                              <w:rPr>
                                <w:sz w:val="13"/>
                                <w:szCs w:val="13"/>
                              </w:rPr>
                              <w:t xml:space="preserve">the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other state (red).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2pt;margin-top:-9.15pt;width:235.2pt;height:207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1" w:name="_Hlk14554358"/>
                      <w:bookmarkEnd w:id="1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022CBC">
                      <w:pPr>
                        <w:pStyle w:val="FigureCaption"/>
                        <w:spacing w:after="360"/>
                        <w:jc w:val="left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="003901AA">
                        <w:rPr>
                          <w:b/>
                          <w:bCs/>
                          <w:sz w:val="13"/>
                          <w:szCs w:val="13"/>
                        </w:rPr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7A131F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7A131F">
                        <w:rPr>
                          <w:b/>
                          <w:sz w:val="13"/>
                          <w:szCs w:val="13"/>
                        </w:rPr>
                        <w:t>.</w:t>
                      </w:r>
                      <w:r w:rsidR="003901AA"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>(</w:t>
                      </w:r>
                      <w:r w:rsidR="003901AA" w:rsidRPr="00022CBC">
                        <w:rPr>
                          <w:b/>
                          <w:sz w:val="13"/>
                          <w:szCs w:val="13"/>
                        </w:rPr>
                        <w:t>a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>)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 Two example p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anels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of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>the main GUI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7A131F" w:rsidRPr="00022CBC">
                        <w:rPr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7A131F" w:rsidRPr="00022CBC">
                        <w:rPr>
                          <w:sz w:val="13"/>
                          <w:szCs w:val="13"/>
                        </w:rPr>
                        <w:t>;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 (</w:t>
                      </w:r>
                      <w:r w:rsidR="003901AA" w:rsidRPr="00022CBC">
                        <w:rPr>
                          <w:b/>
                          <w:sz w:val="13"/>
                          <w:szCs w:val="13"/>
                        </w:rPr>
                        <w:t>b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)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A 3-D scatter plot showing genes whose position is determined by µ, CV and </w:t>
                      </w:r>
                      <w:proofErr w:type="spellStart"/>
                      <w:r w:rsidR="007A131F" w:rsidRPr="00022CBC">
                        <w:rPr>
                          <w:sz w:val="13"/>
                          <w:szCs w:val="13"/>
                        </w:rPr>
                        <w:t>r</w:t>
                      </w:r>
                      <w:r w:rsidR="007A131F" w:rsidRPr="00022CBC">
                        <w:rPr>
                          <w:sz w:val="13"/>
                          <w:szCs w:val="13"/>
                          <w:vertAlign w:val="subscript"/>
                        </w:rPr>
                        <w:t>drop</w:t>
                      </w:r>
                      <w:proofErr w:type="spellEnd"/>
                      <w:r w:rsidR="007A131F" w:rsidRPr="00022CBC">
                        <w:rPr>
                          <w:sz w:val="13"/>
                          <w:szCs w:val="13"/>
                        </w:rPr>
                        <w:t>; (</w:t>
                      </w:r>
                      <w:r w:rsidR="007A131F" w:rsidRPr="00022CBC">
                        <w:rPr>
                          <w:b/>
                          <w:sz w:val="13"/>
                          <w:szCs w:val="13"/>
                        </w:rPr>
                        <w:t>c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) A stem plot showing expression level of 50 selected genes across 2000 cells: 1000 in one state (blue) and the other 1000 in </w:t>
                      </w:r>
                      <w:r w:rsidR="00022CBC" w:rsidRPr="00022CBC">
                        <w:rPr>
                          <w:sz w:val="13"/>
                          <w:szCs w:val="13"/>
                        </w:rPr>
                        <w:t xml:space="preserve">the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>other state (red).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</w:t>
      </w:r>
      <w:r w:rsidR="00674B92">
        <w:t xml:space="preserve">dimensionality reduction, </w:t>
      </w:r>
      <w:r w:rsidR="00B12C6D">
        <w:t xml:space="preserve">data visualization, </w:t>
      </w:r>
      <w:r w:rsidR="001F0C40">
        <w:t xml:space="preserve">cell clustering, </w:t>
      </w:r>
      <w:r w:rsidR="00B12C6D">
        <w:t>trajectory analysis, and network construction.</w:t>
      </w:r>
      <w:r w:rsidR="003662B3">
        <w:t xml:space="preserve"> </w:t>
      </w:r>
      <w:r w:rsidR="00B12C6D">
        <w:t xml:space="preserve">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 xml:space="preserve">functional categories, </w:t>
      </w:r>
      <w:r w:rsidR="003662B3">
        <w:t xml:space="preserve">multiple </w:t>
      </w:r>
      <w:r w:rsidR="00B12C6D">
        <w:t>algorithms were implemented.</w:t>
      </w:r>
      <w:r w:rsidR="003662B3">
        <w:t xml:space="preserve"> For example, f</w:t>
      </w:r>
      <w:r w:rsidR="00041CB4">
        <w:t>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3901AA">
        <w:rPr>
          <w:b/>
        </w:rPr>
        <w:t>a</w:t>
      </w:r>
      <w:r w:rsidR="00736B38">
        <w:t>)</w:t>
      </w:r>
      <w:r w:rsidR="006F5C3C">
        <w:t xml:space="preserve">. It contains </w:t>
      </w:r>
      <w:r w:rsidR="00736B38">
        <w:t>a</w:t>
      </w:r>
      <w:r w:rsidR="00834F54">
        <w:t xml:space="preserve"> main panel </w:t>
      </w:r>
      <w:r w:rsidR="006F5C3C">
        <w:t>with</w:t>
      </w:r>
      <w:r w:rsidR="00834F54">
        <w:t xml:space="preserve"> </w:t>
      </w:r>
      <w:r w:rsidR="00132522">
        <w:t>10</w:t>
      </w:r>
      <w:r w:rsidR="00834F54">
        <w:t xml:space="preserve"> tabs, namely </w:t>
      </w:r>
      <w:r w:rsidR="00834F54" w:rsidRPr="00466EE0">
        <w:rPr>
          <w:i/>
        </w:rPr>
        <w:t>Load Data</w:t>
      </w:r>
      <w:r w:rsidR="00834F54">
        <w:t xml:space="preserve">, </w:t>
      </w:r>
      <w:r w:rsidR="00834F54" w:rsidRPr="00466EE0">
        <w:rPr>
          <w:i/>
        </w:rPr>
        <w:t>Filter</w:t>
      </w:r>
      <w:r w:rsidR="00834F54">
        <w:t xml:space="preserve">, </w:t>
      </w:r>
      <w:r w:rsidR="00834F54" w:rsidRPr="00466EE0">
        <w:rPr>
          <w:i/>
        </w:rPr>
        <w:t>Normalization</w:t>
      </w:r>
      <w:r w:rsidR="00834F54">
        <w:t xml:space="preserve">, </w:t>
      </w:r>
      <w:r w:rsidR="00834F54" w:rsidRPr="00466EE0">
        <w:rPr>
          <w:i/>
        </w:rPr>
        <w:t>Batch Correction</w:t>
      </w:r>
      <w:r w:rsidR="00834F54">
        <w:t xml:space="preserve">, </w:t>
      </w:r>
      <w:r w:rsidR="00834F54" w:rsidRPr="00466EE0">
        <w:rPr>
          <w:i/>
        </w:rPr>
        <w:t>Imputation</w:t>
      </w:r>
      <w:r w:rsidR="00834F54">
        <w:t xml:space="preserve">, </w:t>
      </w:r>
      <w:r w:rsidR="00834F54" w:rsidRPr="00466EE0">
        <w:rPr>
          <w:i/>
        </w:rPr>
        <w:t>Feature Selection</w:t>
      </w:r>
      <w:r w:rsidR="00834F54">
        <w:t xml:space="preserve">, </w:t>
      </w:r>
      <w:r w:rsidR="00834F54" w:rsidRPr="00466EE0">
        <w:rPr>
          <w:i/>
        </w:rPr>
        <w:t>Visualization</w:t>
      </w:r>
      <w:r w:rsidR="003662B3">
        <w:t xml:space="preserve">, </w:t>
      </w:r>
      <w:r w:rsidR="003662B3" w:rsidRPr="00132522">
        <w:rPr>
          <w:i/>
        </w:rPr>
        <w:t>Clustering</w:t>
      </w:r>
      <w:r w:rsidR="003662B3">
        <w:t xml:space="preserve">, </w:t>
      </w:r>
      <w:proofErr w:type="spellStart"/>
      <w:r w:rsidR="003662B3" w:rsidRPr="00132522">
        <w:rPr>
          <w:i/>
        </w:rPr>
        <w:t>P</w:t>
      </w:r>
      <w:r w:rsidR="00132522" w:rsidRPr="00132522">
        <w:rPr>
          <w:i/>
        </w:rPr>
        <w:t>seudotime</w:t>
      </w:r>
      <w:proofErr w:type="spellEnd"/>
      <w:r w:rsidR="00132522">
        <w:t xml:space="preserve">, and </w:t>
      </w:r>
      <w:r w:rsidR="00132522" w:rsidRPr="00132522">
        <w:rPr>
          <w:i/>
        </w:rPr>
        <w:t>Network</w:t>
      </w:r>
      <w:r w:rsidR="00132522">
        <w:t>, which were</w:t>
      </w:r>
      <w:r w:rsidR="00834F54" w:rsidRPr="006E2E26">
        <w:rPr>
          <w:noProof/>
        </w:rPr>
        <w:t xml:space="preserve"> </w:t>
      </w:r>
      <w:r w:rsidR="00132522">
        <w:rPr>
          <w:noProof/>
        </w:rPr>
        <w:t xml:space="preserve">arranged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 w:rsidR="00834F54">
        <w:t xml:space="preserve"> workflow of </w:t>
      </w:r>
      <w:r w:rsidR="00AA3F39">
        <w:t>scRNA-seq data</w:t>
      </w:r>
      <w:r w:rsidR="00834F54">
        <w:t>. Moving between tabs can be done by clicking the tab or clicking ‘Next’ and ‘Back’ buttons on each tab panel.</w:t>
      </w:r>
      <w:r w:rsidR="00466EE0">
        <w:t xml:space="preserve"> </w:t>
      </w:r>
      <w:r w:rsidR="00132522">
        <w:t xml:space="preserve">By clicking command buttons in each tab panel, many </w:t>
      </w:r>
      <w:r w:rsidR="00466EE0">
        <w:t xml:space="preserve">functions can be executed </w:t>
      </w:r>
      <w:r w:rsidR="00132522">
        <w:t>over</w:t>
      </w:r>
      <w:r w:rsidR="00466EE0">
        <w:t xml:space="preserve"> the loaded</w:t>
      </w:r>
      <w:r w:rsidR="00132522">
        <w:t xml:space="preserve"> data</w:t>
      </w:r>
      <w:r w:rsidR="00466EE0">
        <w:t>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 w:rsidR="00834F54">
        <w:t xml:space="preserve">Under the main panel is </w:t>
      </w:r>
      <w:r w:rsidR="00C101F3">
        <w:t>a</w:t>
      </w:r>
      <w:r w:rsidR="00834F54">
        <w:t xml:space="preserve"> panel for viewing data matrices and result table</w:t>
      </w:r>
      <w:r w:rsidR="006F5C3C">
        <w:t>s</w:t>
      </w:r>
      <w:r w:rsidR="00C101F3">
        <w:t>, where d</w:t>
      </w:r>
      <w:r w:rsidR="00834F54">
        <w:t>ata and results can be exported into the workspace as variables or saved into external files.</w:t>
      </w:r>
      <w:r w:rsidR="00132522">
        <w:t xml:space="preserve"> Majority of functions in </w:t>
      </w:r>
      <w:proofErr w:type="spellStart"/>
      <w:r w:rsidR="00132522">
        <w:t>scGEAToolbox</w:t>
      </w:r>
      <w:proofErr w:type="spellEnd"/>
      <w:r w:rsidR="00132522">
        <w:t xml:space="preserve"> were implemented in native </w:t>
      </w:r>
      <w:proofErr w:type="spellStart"/>
      <w:r w:rsidR="00132522">
        <w:t>Matlab</w:t>
      </w:r>
      <w:proofErr w:type="spellEnd"/>
      <w:r w:rsidR="00132522">
        <w:t>. These include</w:t>
      </w:r>
      <w:r w:rsidR="0083705A">
        <w:t xml:space="preserve">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6F3361">
        <w:t xml:space="preserve">, </w:t>
      </w:r>
      <w:r w:rsidR="00F67394">
        <w:t xml:space="preserve">two </w:t>
      </w:r>
      <w:r w:rsidR="006F3361">
        <w:t xml:space="preserve">HVG detection </w:t>
      </w:r>
      <w:r w:rsidR="00474832">
        <w:t xml:space="preserve">methods </w:t>
      </w:r>
      <w:r w:rsidR="00474832">
        <w:fldChar w:fldCharType="begin">
          <w:fldData xml:space="preserve">PEVuZE5vdGU+PENpdGU+PEF1dGhvcj5CcmVubmVja2U8L0F1dGhvcj48WWVhcj4yMDEzPC9ZZWFy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</w:fldData>
        </w:fldChar>
      </w:r>
      <w:r w:rsidR="00E95EDF">
        <w:instrText xml:space="preserve"> ADDIN EN.CITE </w:instrText>
      </w:r>
      <w:r w:rsidR="00E95EDF">
        <w:fldChar w:fldCharType="begin">
          <w:fldData xml:space="preserve">PEVuZE5vdGU+PENpdGU+PEF1dGhvcj5CcmVubmVja2U8L0F1dGhvcj48WWVhcj4yMDEzPC9ZZWFy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</w:fldData>
        </w:fldChar>
      </w:r>
      <w:r w:rsidR="00E95EDF">
        <w:instrText xml:space="preserve"> ADDIN EN.CITE.DATA </w:instrText>
      </w:r>
      <w:r w:rsidR="00E95EDF">
        <w:fldChar w:fldCharType="end"/>
      </w:r>
      <w:r w:rsidR="00474832">
        <w:fldChar w:fldCharType="separate"/>
      </w:r>
      <w:r w:rsidR="00E95EDF">
        <w:rPr>
          <w:noProof/>
        </w:rPr>
        <w:t>(Brennecke, et al., 2013; 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B53F0B">
        <w:t xml:space="preserve">, </w:t>
      </w:r>
      <w:r w:rsidR="00F67394">
        <w:t xml:space="preserve">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B53F0B">
        <w:t xml:space="preserve"> for consensus clustering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UmVjTnVtPjY4Mzk8L1JlY051bT48RGlzcGxheVRleHQ+KEtpc2VsZXYsIGV0IGFsLiwgMjAxNyk8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</w:fldData>
        </w:fldChar>
      </w:r>
      <w:r w:rsidR="00D10FDF">
        <w:instrText xml:space="preserve"> ADDIN EN.CITE </w:instrText>
      </w:r>
      <w:r w:rsidR="00D10FDF">
        <w:fldChar w:fldCharType="begin">
          <w:fldData xml:space="preserve">PEVuZE5vdGU+PENpdGU+PEF1dGhvcj5LaXNlbGV2PC9BdXRob3I+PFllYXI+MjAxNzwvWWVhcj48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</w:fldData>
        </w:fldChar>
      </w:r>
      <w:r w:rsidR="00D10FDF">
        <w:instrText xml:space="preserve"> ADDIN EN.CITE.DATA </w:instrText>
      </w:r>
      <w:r w:rsidR="00D10FDF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474832">
        <w:t xml:space="preserve">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B53F0B">
        <w:t xml:space="preserve">, </w:t>
      </w:r>
      <w:r w:rsidR="007828A1">
        <w:t xml:space="preserve">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B53F0B">
        <w:t xml:space="preserve">for principal component regression network inference </w:t>
      </w:r>
      <w:r w:rsidR="007828A1">
        <w:fldChar w:fldCharType="begin"/>
      </w:r>
      <w:r w:rsidR="00D10FDF">
        <w:instrText xml:space="preserve"> ADDIN EN.CITE &lt;EndNote&gt;&lt;Cite&gt;&lt;Author&gt;Gill&lt;/Author&gt;&lt;Year&gt;2010&lt;/Year&gt;&lt;RecNum&gt;6854&lt;/RecNum&gt;&lt;DisplayText&gt;(Gill, et al., 2010)&lt;/DisplayText&gt;&lt;record&gt;&lt;rec-number&gt;6854&lt;/rec-number&gt;&lt;foreign-keys&gt;&lt;key app="EN" db-id="d9pv9etr4pzxfmexf2jpt0xnd5ed50tvvd59" timestamp="1558130263"&gt;6854&lt;/key&gt;&lt;/foreign-keys&gt;&lt;ref-type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B53F0B">
        <w:t xml:space="preserve">, the </w:t>
      </w:r>
      <w:r w:rsidR="00106D70">
        <w:t>impl</w:t>
      </w:r>
      <w:r w:rsidR="008058F0">
        <w:t>e</w:t>
      </w:r>
      <w:r w:rsidR="00106D70">
        <w:t>ment</w:t>
      </w:r>
      <w:r w:rsidR="00B53F0B">
        <w:t xml:space="preserve"> of</w:t>
      </w:r>
      <w:r w:rsidR="00106D70">
        <w:t xml:space="preserve"> TSCAN </w:t>
      </w:r>
      <w:r w:rsidR="00B53F0B">
        <w:t xml:space="preserve">for trajectory analysis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 xml:space="preserve">In this case, </w:t>
      </w:r>
      <w:r w:rsidR="003662B3">
        <w:t>I</w:t>
      </w:r>
      <w:r w:rsidR="00A84152">
        <w:t xml:space="preserve">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B53F0B">
        <w:t>Several</w:t>
      </w:r>
      <w:r w:rsidR="00474832">
        <w:t xml:space="preserve"> new function</w:t>
      </w:r>
      <w:r w:rsidR="00B53F0B">
        <w:t xml:space="preserve">s were introduced, including </w:t>
      </w:r>
      <w:r w:rsidR="00B53F0B" w:rsidRPr="00B53F0B">
        <w:rPr>
          <w:rFonts w:ascii="Courier New" w:hAnsi="Courier New" w:cs="Courier New"/>
        </w:rPr>
        <w:t>sc_scatter3</w:t>
      </w:r>
      <w:r w:rsidR="00B53F0B" w:rsidRPr="00B53F0B">
        <w:t xml:space="preserve"> </w:t>
      </w:r>
      <w:r w:rsidR="00474832">
        <w:t>for visualiz</w:t>
      </w:r>
      <w:r w:rsidR="0083705A">
        <w:t>ing three</w:t>
      </w:r>
      <w:r w:rsidR="00A84152">
        <w:t xml:space="preserve"> summary statistics</w:t>
      </w:r>
      <w:r w:rsidR="0083705A">
        <w:t>, namely, expression mean (µ), coefficient of variation (CV) and the dropout rate (</w:t>
      </w:r>
      <w:proofErr w:type="spellStart"/>
      <w:r w:rsidR="0083705A" w:rsidRPr="003A01E2">
        <w:rPr>
          <w:noProof/>
        </w:rPr>
        <w:t>r</w:t>
      </w:r>
      <w:r w:rsidR="0083705A" w:rsidRPr="003A01E2">
        <w:rPr>
          <w:noProof/>
          <w:vertAlign w:val="subscript"/>
        </w:rPr>
        <w:t>drop</w:t>
      </w:r>
      <w:proofErr w:type="spellEnd"/>
      <w:r w:rsidR="0083705A">
        <w:t xml:space="preserve">) of a gene across cells. Genes are arranged in the 3-D space and a </w:t>
      </w:r>
      <w:r w:rsidR="00474832">
        <w:t xml:space="preserve">spline curve </w:t>
      </w:r>
      <w:r w:rsidR="0083705A">
        <w:t xml:space="preserve">is </w:t>
      </w:r>
      <w:r w:rsidR="00474832">
        <w:t xml:space="preserve">defined </w:t>
      </w:r>
      <w:r w:rsidR="0083705A">
        <w:t xml:space="preserve">to facilitate the </w:t>
      </w:r>
      <w:r w:rsidR="00A84152">
        <w:t>identif</w:t>
      </w:r>
      <w:r w:rsidR="0083705A">
        <w:t xml:space="preserve">ication of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</w:t>
      </w:r>
      <w:r w:rsidR="0083705A">
        <w:t xml:space="preserve"> </w:t>
      </w:r>
      <w:r w:rsidR="00A84152">
        <w:t xml:space="preserve">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3901AA">
        <w:rPr>
          <w:b/>
        </w:rPr>
        <w:t>b</w:t>
      </w:r>
      <w:r w:rsidR="00A84152">
        <w:t>).</w:t>
      </w:r>
      <w:r w:rsidR="006F3361">
        <w:t xml:space="preserve"> </w:t>
      </w:r>
      <w:r w:rsidR="00D14DA7"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</w:t>
      </w:r>
      <w:r w:rsidR="006F3361">
        <w:t>s</w:t>
      </w:r>
      <w:r w:rsidR="00106D70">
        <w:t xml:space="preserve">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</w:t>
      </w:r>
      <w:r w:rsidR="00E95EDF">
        <w:t xml:space="preserve"> such as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</w:t>
      </w:r>
      <w:r w:rsidR="006F3361">
        <w:t>T</w:t>
      </w:r>
      <w:r w:rsidR="00B13068">
        <w:t xml:space="preserve">hese </w:t>
      </w:r>
      <w:r w:rsidR="00682A0C">
        <w:t xml:space="preserve">wrapper functions </w:t>
      </w:r>
      <w:r w:rsidR="006F3361">
        <w:t xml:space="preserve">also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 w:rsidR="00D14DA7">
        <w:t xml:space="preserve"> Furthermore, </w:t>
      </w:r>
      <w:proofErr w:type="spellStart"/>
      <w:r w:rsidR="00D14DA7">
        <w:t>scGEAToolbox</w:t>
      </w:r>
      <w:proofErr w:type="spellEnd"/>
      <w:r w:rsidR="00D14DA7">
        <w:t xml:space="preserve"> also includes w</w:t>
      </w:r>
      <w:r w:rsidR="00B13068">
        <w:t xml:space="preserve">rapper functions for </w:t>
      </w:r>
      <w:r w:rsidR="006F3361">
        <w:t xml:space="preserve">few </w:t>
      </w:r>
      <w:r w:rsidR="00D14DA7">
        <w:t xml:space="preserve">selected </w:t>
      </w:r>
      <w:r w:rsidR="0044108C">
        <w:t xml:space="preserve">R </w:t>
      </w:r>
      <w:r w:rsidR="006F3361">
        <w:t>functions</w:t>
      </w:r>
      <w:r w:rsidR="00E95EDF">
        <w:t xml:space="preserve"> such as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6F3361">
        <w:t>.</w:t>
      </w:r>
    </w:p>
    <w:p w:rsidR="0083705A" w:rsidRDefault="0083705A" w:rsidP="0083705A">
      <w:pPr>
        <w:pStyle w:val="Heading1"/>
        <w:tabs>
          <w:tab w:val="left" w:pos="2790"/>
        </w:tabs>
      </w:pPr>
      <w:r>
        <w:t>Results</w:t>
      </w:r>
    </w:p>
    <w:p w:rsidR="00BA769D" w:rsidRDefault="00E95EDF" w:rsidP="00E95EDF">
      <w:pPr>
        <w:pStyle w:val="para1"/>
        <w:ind w:firstLine="0"/>
      </w:pPr>
      <w:r>
        <w:t xml:space="preserve">The newly developed </w:t>
      </w:r>
      <w:proofErr w:type="spellStart"/>
      <w:r>
        <w:t>scGEAToolbox</w:t>
      </w:r>
      <w:proofErr w:type="spellEnd"/>
      <w:r>
        <w:t xml:space="preserve"> contains a comprehensive set of </w:t>
      </w:r>
      <w:proofErr w:type="spellStart"/>
      <w:r>
        <w:t>Matlab</w:t>
      </w:r>
      <w:proofErr w:type="spellEnd"/>
      <w:r>
        <w:t xml:space="preserve"> functions to facilitate the analyses of scRNA-seq data. To my knowledge, there is no other </w:t>
      </w:r>
      <w:proofErr w:type="spellStart"/>
      <w:r>
        <w:t>Matlab</w:t>
      </w:r>
      <w:proofErr w:type="spellEnd"/>
      <w:r>
        <w:t xml:space="preserve"> toolbox that offers a nearly comparable solution. </w:t>
      </w:r>
      <w:r w:rsidR="00E83AAB">
        <w:t>As m</w:t>
      </w:r>
      <w:r w:rsidR="006F5C3C">
        <w:t>any functions</w:t>
      </w:r>
      <w:r w:rsidR="00A50E4D">
        <w:t xml:space="preserve"> </w:t>
      </w:r>
      <w:r>
        <w:t xml:space="preserve">in </w:t>
      </w:r>
      <w:proofErr w:type="spellStart"/>
      <w:r>
        <w:t>scGEAToolbox</w:t>
      </w:r>
      <w:proofErr w:type="spellEnd"/>
      <w:r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 w:rsidR="00E83AAB">
        <w:t>the GUI</w:t>
      </w:r>
      <w:r>
        <w:t xml:space="preserve"> application</w:t>
      </w:r>
      <w:r w:rsidR="00E83AAB">
        <w:t xml:space="preserve"> without using the command line, </w:t>
      </w:r>
      <w:r>
        <w:t>it is</w:t>
      </w:r>
      <w:r w:rsidR="00E83AAB">
        <w:t xml:space="preserve"> a </w:t>
      </w:r>
      <w:r w:rsidR="009004BA">
        <w:t>useful</w:t>
      </w:r>
      <w:r w:rsidR="00E83AAB">
        <w:t xml:space="preserve"> training tool for beginners</w:t>
      </w:r>
      <w:r w:rsidR="00A50E4D">
        <w:t>.</w:t>
      </w:r>
      <w:r>
        <w:t xml:space="preserve"> Visualization functions support more intuitive interpretation of the data (</w:t>
      </w:r>
      <w:r w:rsidR="00FF0D51">
        <w:t xml:space="preserve">e.g., </w:t>
      </w:r>
      <w:r w:rsidRPr="00E95EDF">
        <w:rPr>
          <w:b/>
        </w:rPr>
        <w:t>Fig. 1c</w:t>
      </w:r>
      <w:r>
        <w:t>). Many e</w:t>
      </w:r>
      <w:r w:rsidR="002579D6">
        <w:t>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 w:rsidR="00E83AAB">
        <w:t xml:space="preserve"> </w:t>
      </w:r>
      <w:r w:rsidR="00736B38">
        <w:t>in</w:t>
      </w:r>
      <w:r w:rsidR="002579D6">
        <w:t xml:space="preserve"> </w:t>
      </w:r>
      <w:r>
        <w:t>the corresponding</w:t>
      </w:r>
      <w:r w:rsidR="00736B38">
        <w:t xml:space="preserve"> subfolder</w:t>
      </w:r>
      <w:r w:rsidR="009004BA">
        <w:t xml:space="preserve">; </w:t>
      </w:r>
      <w:r>
        <w:t xml:space="preserve">several </w:t>
      </w:r>
      <w:r w:rsidR="009004BA">
        <w:t>demonstration script files are</w:t>
      </w:r>
      <w:r>
        <w:t xml:space="preserve"> also</w:t>
      </w:r>
      <w:r w:rsidR="009004BA">
        <w:t xml:space="preserve">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  <w:r>
        <w:t xml:space="preserve"> </w:t>
      </w:r>
      <w:r w:rsidR="00A03083">
        <w:t xml:space="preserve">In summary, </w:t>
      </w:r>
      <w:proofErr w:type="spellStart"/>
      <w:r w:rsidR="00A03083">
        <w:t>scGEA</w:t>
      </w:r>
      <w:r w:rsidR="00840331">
        <w:t>Toolbox</w:t>
      </w:r>
      <w:proofErr w:type="spellEnd"/>
      <w:r w:rsidR="00A03083">
        <w:t xml:space="preserve"> </w:t>
      </w:r>
      <w:r w:rsidR="001274D2">
        <w:t xml:space="preserve">is designed and developed to provide better data analysis support for </w:t>
      </w:r>
      <w:r w:rsidR="00A03083"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 w:rsidR="00A03083"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</w:t>
      </w:r>
      <w:r w:rsidR="00EE6BCE">
        <w:t>I</w:t>
      </w:r>
      <w:r w:rsidR="00E91FC8">
        <w:t xml:space="preserve">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 w:rsidP="00E95EDF">
      <w:pPr>
        <w:pStyle w:val="AckText"/>
        <w:spacing w:after="240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>uthor thanks</w:t>
      </w:r>
      <w:r w:rsidR="006F3361">
        <w:rPr>
          <w:sz w:val="14"/>
          <w:szCs w:val="14"/>
        </w:rPr>
        <w:t xml:space="preserve"> Daniel Osorio,</w:t>
      </w:r>
      <w:r w:rsidR="00E91FC8">
        <w:rPr>
          <w:sz w:val="14"/>
          <w:szCs w:val="14"/>
        </w:rPr>
        <w:t xml:space="preserve">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E95EDF">
      <w:pPr>
        <w:pStyle w:val="RefHead"/>
        <w:spacing w:before="0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E95EDF" w:rsidRPr="00E95EDF" w:rsidRDefault="00B209CA" w:rsidP="00E95ED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5EDF" w:rsidRPr="00E95EDF">
        <w:t>Brennecke, P.</w:t>
      </w:r>
      <w:r w:rsidR="00E95EDF" w:rsidRPr="00E95EDF">
        <w:rPr>
          <w:i/>
        </w:rPr>
        <w:t>, et al.</w:t>
      </w:r>
      <w:r w:rsidR="00E95EDF" w:rsidRPr="00E95EDF">
        <w:t xml:space="preserve"> Accounting for technical noise in single-cell RNA-seq experiments. </w:t>
      </w:r>
      <w:r w:rsidR="00E95EDF" w:rsidRPr="00E95EDF">
        <w:rPr>
          <w:i/>
        </w:rPr>
        <w:t>Nat Methods</w:t>
      </w:r>
      <w:r w:rsidR="00E95EDF" w:rsidRPr="00E95EDF">
        <w:t xml:space="preserve"> 2013;10(11):1093-1095.</w:t>
      </w:r>
    </w:p>
    <w:p w:rsidR="00E95EDF" w:rsidRPr="00E95EDF" w:rsidRDefault="00E95EDF" w:rsidP="00E95EDF">
      <w:pPr>
        <w:pStyle w:val="EndNoteBibliography"/>
      </w:pPr>
      <w:r w:rsidRPr="00E95EDF">
        <w:t>Chen, H.I.</w:t>
      </w:r>
      <w:r w:rsidRPr="00E95EDF">
        <w:rPr>
          <w:i/>
        </w:rPr>
        <w:t>, et al.</w:t>
      </w:r>
      <w:r w:rsidRPr="00E95EDF">
        <w:t xml:space="preserve"> Detection of high variability in gene expression from single-cell RNA-seq profiling. </w:t>
      </w:r>
      <w:r w:rsidRPr="00E95EDF">
        <w:rPr>
          <w:i/>
        </w:rPr>
        <w:t>BMC genomics</w:t>
      </w:r>
      <w:r w:rsidRPr="00E95EDF">
        <w:t xml:space="preserve"> 2016;17 Suppl 7:508.</w:t>
      </w:r>
    </w:p>
    <w:p w:rsidR="00E95EDF" w:rsidRPr="00E95EDF" w:rsidRDefault="00E95EDF" w:rsidP="00E95EDF">
      <w:pPr>
        <w:pStyle w:val="EndNoteBibliography"/>
      </w:pPr>
      <w:r w:rsidRPr="00E95EDF">
        <w:t>Diaz, A.</w:t>
      </w:r>
      <w:r w:rsidRPr="00E95EDF">
        <w:rPr>
          <w:i/>
        </w:rPr>
        <w:t>, et al.</w:t>
      </w:r>
      <w:r w:rsidRPr="00E95EDF">
        <w:t xml:space="preserve"> SCell: integrated analysis of single-cell RNA-seq data. </w:t>
      </w:r>
      <w:r w:rsidRPr="00E95EDF">
        <w:rPr>
          <w:i/>
        </w:rPr>
        <w:t>Bioinformatics</w:t>
      </w:r>
      <w:r w:rsidRPr="00E95EDF">
        <w:t xml:space="preserve"> 2016;32(14):2219-2220.</w:t>
      </w:r>
    </w:p>
    <w:p w:rsidR="00E95EDF" w:rsidRPr="00E95EDF" w:rsidRDefault="00E95EDF" w:rsidP="00E95EDF">
      <w:pPr>
        <w:pStyle w:val="EndNoteBibliography"/>
      </w:pPr>
      <w:r w:rsidRPr="00E95EDF">
        <w:t xml:space="preserve">Gill, R., Datta, S. and Datta, S. A statistical framework for differential network analysis from microarray data. </w:t>
      </w:r>
      <w:r w:rsidRPr="00E95EDF">
        <w:rPr>
          <w:i/>
        </w:rPr>
        <w:t>BMC Bioinformatics</w:t>
      </w:r>
      <w:r w:rsidRPr="00E95EDF">
        <w:t xml:space="preserve"> 2010;11:95.</w:t>
      </w:r>
    </w:p>
    <w:p w:rsidR="00E95EDF" w:rsidRPr="00E95EDF" w:rsidRDefault="00E95EDF" w:rsidP="00E95EDF">
      <w:pPr>
        <w:pStyle w:val="EndNoteBibliography"/>
      </w:pPr>
      <w:r w:rsidRPr="00E95EDF">
        <w:t xml:space="preserve">Ji, Z. and Ji, H. TSCAN: Pseudo-time reconstruction and evaluation in single-cell RNA-seq analysis. </w:t>
      </w:r>
      <w:r w:rsidRPr="00E95EDF">
        <w:rPr>
          <w:i/>
        </w:rPr>
        <w:t>Nucleic Acids Res</w:t>
      </w:r>
      <w:r w:rsidRPr="00E95EDF">
        <w:t xml:space="preserve"> 2016;44(13):e117.</w:t>
      </w:r>
    </w:p>
    <w:p w:rsidR="00E95EDF" w:rsidRPr="00E95EDF" w:rsidRDefault="00E95EDF" w:rsidP="00E95EDF">
      <w:pPr>
        <w:pStyle w:val="EndNoteBibliography"/>
      </w:pPr>
      <w:r w:rsidRPr="00E95EDF">
        <w:t>Kiselev, V.Y.</w:t>
      </w:r>
      <w:r w:rsidRPr="00E95EDF">
        <w:rPr>
          <w:i/>
        </w:rPr>
        <w:t>, et al.</w:t>
      </w:r>
      <w:r w:rsidRPr="00E95EDF">
        <w:t xml:space="preserve"> SC3: consensus clustering of single-cell RNA-seq data. </w:t>
      </w:r>
      <w:r w:rsidRPr="00E95EDF">
        <w:rPr>
          <w:i/>
        </w:rPr>
        <w:t>Nat Methods</w:t>
      </w:r>
      <w:r w:rsidRPr="00E95EDF">
        <w:t xml:space="preserve"> 2017;14(5):483-486.</w:t>
      </w:r>
    </w:p>
    <w:p w:rsidR="0066776F" w:rsidRDefault="00E95EDF" w:rsidP="00E95EDF">
      <w:pPr>
        <w:pStyle w:val="EndNoteBibliography"/>
      </w:pPr>
      <w:r w:rsidRPr="00E95EDF">
        <w:t>Marco, E.</w:t>
      </w:r>
      <w:r w:rsidRPr="00E95EDF">
        <w:rPr>
          <w:i/>
        </w:rPr>
        <w:t>, et al.</w:t>
      </w:r>
      <w:r w:rsidRPr="00E95EDF">
        <w:t xml:space="preserve"> Bifurcation analysis of single-cell gene expression data reveals epigenetic landscape. </w:t>
      </w:r>
      <w:r w:rsidRPr="00E95EDF">
        <w:rPr>
          <w:i/>
        </w:rPr>
        <w:t>Proc Natl Acad Sci U S A</w:t>
      </w:r>
      <w:r w:rsidRPr="00E95EDF">
        <w:t xml:space="preserve"> 2014;111(52):E5643-5650.</w:t>
      </w:r>
      <w:r w:rsidR="00B209CA"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5D" w:rsidRDefault="004A135D">
      <w:r>
        <w:separator/>
      </w:r>
    </w:p>
  </w:endnote>
  <w:endnote w:type="continuationSeparator" w:id="0">
    <w:p w:rsidR="004A135D" w:rsidRDefault="004A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5D" w:rsidRDefault="004A135D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4A135D" w:rsidRDefault="004A135D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4A135D" w:rsidRDefault="004A135D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0FANSf3e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1&lt;/item&gt;&lt;item&gt;6801&lt;/item&gt;&lt;item&gt;6839&lt;/item&gt;&lt;item&gt;6854&lt;/item&gt;&lt;item&gt;6934&lt;/item&gt;&lt;item&gt;6935&lt;/item&gt;&lt;/record-ids&gt;&lt;/item&gt;&lt;/Libraries&gt;"/>
  </w:docVars>
  <w:rsids>
    <w:rsidRoot w:val="00F45DC5"/>
    <w:rsid w:val="000013D7"/>
    <w:rsid w:val="0001213C"/>
    <w:rsid w:val="00022CBC"/>
    <w:rsid w:val="000363E2"/>
    <w:rsid w:val="00041CB4"/>
    <w:rsid w:val="00050B51"/>
    <w:rsid w:val="00063765"/>
    <w:rsid w:val="00077540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3252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1F0C40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37B3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2B3"/>
    <w:rsid w:val="00366351"/>
    <w:rsid w:val="00370837"/>
    <w:rsid w:val="00386DA0"/>
    <w:rsid w:val="003901AA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91939"/>
    <w:rsid w:val="004A135D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4E7C28"/>
    <w:rsid w:val="00513FFC"/>
    <w:rsid w:val="00527659"/>
    <w:rsid w:val="005372A5"/>
    <w:rsid w:val="00544ED1"/>
    <w:rsid w:val="00547891"/>
    <w:rsid w:val="005504AD"/>
    <w:rsid w:val="00565E87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23DE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3361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A131F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3705A"/>
    <w:rsid w:val="00840331"/>
    <w:rsid w:val="0084220D"/>
    <w:rsid w:val="00853ACD"/>
    <w:rsid w:val="00853D6D"/>
    <w:rsid w:val="008620FB"/>
    <w:rsid w:val="00866860"/>
    <w:rsid w:val="00871973"/>
    <w:rsid w:val="00887143"/>
    <w:rsid w:val="008949CC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383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53F0B"/>
    <w:rsid w:val="00B637BC"/>
    <w:rsid w:val="00B652DF"/>
    <w:rsid w:val="00B7282B"/>
    <w:rsid w:val="00B804FA"/>
    <w:rsid w:val="00B90763"/>
    <w:rsid w:val="00B972B2"/>
    <w:rsid w:val="00BA6BCA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D7010"/>
    <w:rsid w:val="00CF605A"/>
    <w:rsid w:val="00D018A2"/>
    <w:rsid w:val="00D066E6"/>
    <w:rsid w:val="00D10FDF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E6410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855B5"/>
    <w:rsid w:val="00E91FC8"/>
    <w:rsid w:val="00E94995"/>
    <w:rsid w:val="00E95EDF"/>
    <w:rsid w:val="00EC5ED4"/>
    <w:rsid w:val="00ED352A"/>
    <w:rsid w:val="00EE1FE6"/>
    <w:rsid w:val="00EE6BCE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962BF"/>
    <w:rsid w:val="00FA7B6C"/>
    <w:rsid w:val="00FC40EC"/>
    <w:rsid w:val="00FD09A4"/>
    <w:rsid w:val="00FD5375"/>
    <w:rsid w:val="00FF0D51"/>
    <w:rsid w:val="00FF1489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05F01A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8E294-F5B6-46AF-B3ED-0EEBD781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8</TotalTime>
  <Pages>2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3</cp:revision>
  <cp:lastPrinted>2019-02-07T20:38:00Z</cp:lastPrinted>
  <dcterms:created xsi:type="dcterms:W3CDTF">2019-09-14T22:31:00Z</dcterms:created>
  <dcterms:modified xsi:type="dcterms:W3CDTF">2019-09-14T22:39:00Z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