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</w:t>
            </w:r>
            <w:r w:rsidR="00227445">
              <w:t>across individual cells</w:t>
            </w:r>
            <w:r w:rsidR="00227445">
              <w:t xml:space="preserve"> for studying </w:t>
            </w:r>
            <w:r w:rsidR="00C50397">
              <w:t>cell heterogeneity</w:t>
            </w:r>
            <w:r w:rsidR="00C801AB">
              <w:t xml:space="preserve"> and gene expression variability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</w:t>
            </w:r>
            <w:r w:rsidR="00227445">
              <w:t xml:space="preserve">though, </w:t>
            </w:r>
            <w:r w:rsidR="00295627">
              <w:t xml:space="preserve">due to </w:t>
            </w:r>
            <w:r w:rsidR="00227445">
              <w:t xml:space="preserve">the </w:t>
            </w:r>
            <w:r w:rsidR="00295627">
              <w:t>sparsity and high dimensionality of the data</w:t>
            </w:r>
            <w:r w:rsidR="00C801AB">
              <w:t>.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r w:rsidR="00227445">
              <w:t>including</w:t>
            </w:r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227445">
              <w:t>provided</w:t>
            </w:r>
            <w:r w:rsidR="00F521F8">
              <w:t xml:space="preserve">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a large number of</w:t>
            </w:r>
            <w:r w:rsidR="00F521F8">
              <w:t xml:space="preserve"> </w:t>
            </w:r>
            <w:r w:rsidR="00A52649">
              <w:t xml:space="preserve">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 xml:space="preserve">is equipped with </w:t>
            </w:r>
            <w:r w:rsidR="00165605">
              <w:t xml:space="preserve">sophisticated </w:t>
            </w:r>
            <w:r w:rsidR="002577E4">
              <w:t>graphic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 xml:space="preserve">, </w:t>
            </w:r>
            <w:r w:rsidR="00165605">
              <w:t>as well as</w:t>
            </w:r>
            <w:r w:rsidR="00F521F8">
              <w:t xml:space="preserve">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B12A20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165605">
        <w:t>is</w:t>
      </w:r>
      <w:r w:rsidR="00527659">
        <w:t xml:space="preserve"> a challenging task</w:t>
      </w:r>
      <w:r w:rsidR="00165605">
        <w:t xml:space="preserve"> due to the sparsity and dimensionality of the data</w:t>
      </w:r>
      <w:r w:rsidR="00527659">
        <w:t xml:space="preserve">. </w:t>
      </w:r>
      <w:r w:rsidR="00A52649">
        <w:t xml:space="preserve">The sparsity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165605">
        <w:t xml:space="preserve">; the high dimensionality is a characteristic </w:t>
      </w:r>
      <w:r w:rsidR="00165605" w:rsidRPr="00165605">
        <w:t>property</w:t>
      </w:r>
      <w:r w:rsidR="00165605">
        <w:t xml:space="preserve"> of scRNA-seq data. </w:t>
      </w:r>
      <w:r w:rsidR="00A52649">
        <w:t>T</w:t>
      </w:r>
      <w:r w:rsidR="00527659">
        <w:t>he data</w:t>
      </w:r>
      <w:r w:rsidR="00A52649">
        <w:t xml:space="preserve"> sets are also</w:t>
      </w:r>
      <w:r w:rsidR="00527659">
        <w:t xml:space="preserve"> 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</w:t>
      </w:r>
      <w:r w:rsidR="005504AD">
        <w:t xml:space="preserve">data </w:t>
      </w:r>
      <w:r w:rsidR="00F14B10">
        <w:t>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and trajectory analysis,</w:t>
      </w:r>
      <w:r w:rsidR="005504AD">
        <w:t xml:space="preserve"> </w:t>
      </w:r>
      <w:r w:rsidR="00F14B10">
        <w:t>regulatory network construction</w:t>
      </w:r>
      <w:r w:rsidR="005504AD">
        <w:t>, and so on</w:t>
      </w:r>
      <w:r w:rsidR="00F14B10">
        <w:t xml:space="preserve">. When multiple data sets are </w:t>
      </w:r>
      <w:r w:rsidR="005504AD">
        <w:t>compared</w:t>
      </w:r>
      <w:r w:rsidR="00F14B10">
        <w:t xml:space="preserve">, batch effect correction </w:t>
      </w:r>
      <w:r w:rsidR="00D54073">
        <w:t>is</w:t>
      </w:r>
      <w:r w:rsidR="00F14B10">
        <w:t xml:space="preserve"> often required. For every aspect of these analyses, there </w:t>
      </w:r>
      <w:r w:rsidR="00D54073">
        <w:t xml:space="preserve">has been </w:t>
      </w:r>
      <w:r w:rsidR="008058F0">
        <w:t xml:space="preserve">a </w:t>
      </w:r>
      <w:r w:rsidR="00F14B10">
        <w:t>plethora collection of software tools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>majority of these tools are developed in computer language</w:t>
      </w:r>
      <w:r w:rsidR="00D54073">
        <w:t>s</w:t>
      </w:r>
      <w:r w:rsidR="00607782">
        <w:t xml:space="preserve"> other than </w:t>
      </w:r>
      <w:proofErr w:type="spellStart"/>
      <w:r w:rsidR="00607782">
        <w:t>Matlab</w:t>
      </w:r>
      <w:proofErr w:type="spellEnd"/>
      <w:r w:rsidR="00607782">
        <w:t xml:space="preserve">, </w:t>
      </w:r>
      <w:r w:rsidR="00D54073">
        <w:t xml:space="preserve">such as </w:t>
      </w:r>
      <w:r w:rsidR="00607782">
        <w:t>R and python.</w:t>
      </w:r>
    </w:p>
    <w:p w:rsidR="00527659" w:rsidRDefault="00607782" w:rsidP="000B11FC">
      <w:pPr>
        <w:pStyle w:val="para1"/>
        <w:ind w:firstLine="0"/>
      </w:pPr>
      <w:proofErr w:type="spellStart"/>
      <w:r>
        <w:t>Matlab</w:t>
      </w:r>
      <w:proofErr w:type="spellEnd"/>
      <w:r w:rsidRPr="00607782">
        <w:t xml:space="preserve"> is a scientific programming language and provides strong mathematical and numerical support for the implementation of advanced algorithms. Its basic data element is the matrix</w:t>
      </w:r>
      <w:r>
        <w:t xml:space="preserve">; </w:t>
      </w:r>
      <w:r w:rsidRPr="00607782">
        <w:t xml:space="preserve">mathematical operations that work on arrays or matrices are built-in to the </w:t>
      </w:r>
      <w:proofErr w:type="spellStart"/>
      <w:r w:rsidRPr="00607782">
        <w:t>Matlab</w:t>
      </w:r>
      <w:proofErr w:type="spellEnd"/>
      <w:r w:rsidRPr="00607782">
        <w:t xml:space="preserve"> environment</w:t>
      </w:r>
      <w:r w:rsidR="00C46F86">
        <w:t>.</w:t>
      </w:r>
      <w:r>
        <w:t xml:space="preserve"> </w:t>
      </w:r>
      <w:proofErr w:type="spellStart"/>
      <w:r w:rsidRPr="00607782">
        <w:t>Matlab</w:t>
      </w:r>
      <w:proofErr w:type="spellEnd"/>
      <w:r w:rsidRPr="00607782">
        <w:t xml:space="preserve"> </w:t>
      </w:r>
      <w:r w:rsidR="00D54073">
        <w:t>comes with</w:t>
      </w:r>
      <w:r w:rsidRPr="00607782">
        <w:t xml:space="preserve"> many </w:t>
      </w:r>
      <w:r w:rsidR="00834F54">
        <w:t>toolboxes</w:t>
      </w:r>
      <w:r w:rsidR="008058F0">
        <w:t>,</w:t>
      </w:r>
      <w:r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D54073">
        <w:t>. Nevertheless</w:t>
      </w:r>
      <w:r w:rsidR="00A52649">
        <w:t xml:space="preserve">, </w:t>
      </w:r>
      <w:r w:rsidR="00D54073">
        <w:t xml:space="preserve">a </w:t>
      </w:r>
      <w:r w:rsidR="00A52649">
        <w:t xml:space="preserve">dedicated </w:t>
      </w:r>
      <w:proofErr w:type="spellStart"/>
      <w:r w:rsidR="00D54073">
        <w:t>Matlab</w:t>
      </w:r>
      <w:proofErr w:type="spellEnd"/>
      <w:r w:rsidR="00D54073">
        <w:t xml:space="preserve"> </w:t>
      </w:r>
      <w:r w:rsidR="00A52649">
        <w:t xml:space="preserve">toolbox for </w:t>
      </w:r>
      <w:r w:rsidR="007D3E21">
        <w:t xml:space="preserve">comprehensive analyses of </w:t>
      </w:r>
      <w:r w:rsidR="00A52649">
        <w:t xml:space="preserve">scRNA-seq data </w:t>
      </w:r>
      <w:r w:rsidR="00D54073">
        <w:t>is</w:t>
      </w:r>
      <w:r w:rsidR="0084220D">
        <w:t xml:space="preserve"> </w:t>
      </w:r>
      <w:r w:rsidR="00A52649">
        <w:t>still missing</w:t>
      </w:r>
      <w:r w:rsidRPr="00607782">
        <w:t>.</w:t>
      </w:r>
      <w:r>
        <w:t xml:space="preserve"> </w:t>
      </w:r>
      <w:r w:rsidR="00C46F86">
        <w:t>Given</w:t>
      </w:r>
      <w:r w:rsidR="00D54073">
        <w:t xml:space="preserve"> </w:t>
      </w:r>
      <w:r w:rsidR="00C46F86">
        <w:t xml:space="preserve">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we believe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A52649">
        <w:t>for</w:t>
      </w:r>
      <w:r w:rsidR="00834F54">
        <w:t xml:space="preserve"> </w:t>
      </w:r>
      <w:r>
        <w:t xml:space="preserve">scRNA-seq data analysis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5C3C" w:rsidRDefault="00834F54" w:rsidP="000013D7">
      <w:pPr>
        <w:pStyle w:val="para1"/>
        <w:ind w:firstLine="0"/>
      </w:pPr>
      <w:r>
        <w:t xml:space="preserve">We developed </w:t>
      </w:r>
      <w:proofErr w:type="spellStart"/>
      <w:r>
        <w:t>scGEAToolbox</w:t>
      </w:r>
      <w:proofErr w:type="spellEnd"/>
      <w:r>
        <w:t xml:space="preserve"> using </w:t>
      </w:r>
      <w:proofErr w:type="spellStart"/>
      <w:r w:rsidRPr="001274D2">
        <w:t>M</w:t>
      </w:r>
      <w:r>
        <w:t>atlab</w:t>
      </w:r>
      <w:proofErr w:type="spellEnd"/>
      <w:r>
        <w:t xml:space="preserve">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Functions in </w:t>
      </w:r>
      <w:proofErr w:type="spellStart"/>
      <w:r>
        <w:t>scGEAToolbox</w:t>
      </w:r>
      <w:proofErr w:type="spellEnd"/>
      <w:r>
        <w:t xml:space="preserve"> </w:t>
      </w:r>
      <w:r w:rsidRPr="006E2E26">
        <w:rPr>
          <w:noProof/>
        </w:rPr>
        <w:t>are written</w:t>
      </w:r>
      <w:r>
        <w:t xml:space="preserve"> in native </w:t>
      </w:r>
      <w:proofErr w:type="spellStart"/>
      <w:r>
        <w:t>Matlab</w:t>
      </w:r>
      <w:proofErr w:type="spellEnd"/>
      <w:r w:rsidR="008058F0">
        <w:t>,</w:t>
      </w:r>
      <w:r>
        <w:t xml:space="preserve"> </w:t>
      </w:r>
      <w:r w:rsidRPr="006E2E26">
        <w:rPr>
          <w:noProof/>
        </w:rPr>
        <w:t>and</w:t>
      </w:r>
      <w:r>
        <w:t xml:space="preserve"> the app GUIs </w:t>
      </w:r>
      <w:r w:rsidRPr="006E2E26">
        <w:rPr>
          <w:noProof/>
        </w:rPr>
        <w:t>are created</w:t>
      </w:r>
      <w:r>
        <w:t xml:space="preserve"> with App Designer. </w:t>
      </w:r>
      <w:r w:rsidR="009F4495">
        <w:t xml:space="preserve">Most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>, as input</w:t>
      </w:r>
      <w:r w:rsidR="00D54073">
        <w:t>s</w:t>
      </w:r>
      <w:r w:rsidR="009F4495">
        <w:t xml:space="preserve">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total number of genes and </w:t>
      </w:r>
      <w:r w:rsidR="009F4495" w:rsidRPr="009F4495">
        <w:rPr>
          <w:i/>
        </w:rPr>
        <w:t>m</w:t>
      </w:r>
      <w:r w:rsidR="009F4495" w:rsidRPr="009F4495">
        <w:t xml:space="preserve"> denotes the total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</w:t>
      </w:r>
      <w:r w:rsidR="00D54073">
        <w:t xml:space="preserve">holding the </w:t>
      </w:r>
      <w:r w:rsidR="007D3E21">
        <w:t>name</w:t>
      </w:r>
      <w:r w:rsidR="00D54073">
        <w:t>s</w:t>
      </w:r>
      <w:r w:rsidR="007D3E21">
        <w:t xml:space="preserve"> of </w:t>
      </w:r>
      <w:r w:rsidR="007D3E21" w:rsidRPr="007D3E21">
        <w:rPr>
          <w:i/>
        </w:rPr>
        <w:t>n</w:t>
      </w:r>
      <w:r w:rsidR="007D3E21">
        <w:t xml:space="preserve"> genes.</w:t>
      </w:r>
      <w:r w:rsidR="00D54073">
        <w:t xml:space="preserve"> </w:t>
      </w:r>
      <w:r w:rsidR="00B12C6D">
        <w:t xml:space="preserve">Main </w:t>
      </w:r>
      <w:r w:rsidR="00B12C6D">
        <w:lastRenderedPageBreak/>
        <w:t xml:space="preserve">categories of 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>include</w:t>
      </w:r>
      <w:r w:rsidR="00D54073">
        <w:t>:</w:t>
      </w:r>
      <w:r w:rsidR="00B12C6D">
        <w:t xml:space="preserve"> </w:t>
      </w:r>
      <w:r w:rsidR="00B12A20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83673</wp:posOffset>
                </wp:positionH>
                <wp:positionV relativeFrom="margin">
                  <wp:posOffset>-75613</wp:posOffset>
                </wp:positionV>
                <wp:extent cx="2906395" cy="2304415"/>
                <wp:effectExtent l="0" t="0" r="27305" b="1968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0" w:name="_Hlk14554358"/>
                            <w:bookmarkEnd w:id="0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CC4E44">
                              <w:rPr>
                                <w:b/>
                                <w:sz w:val="13"/>
                                <w:szCs w:val="13"/>
                              </w:rPr>
                              <w:t>,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part of </w:t>
                            </w:r>
                            <w:proofErr w:type="spellStart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GUIs</w:t>
                            </w:r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6pt;margin-top:-5.95pt;width:228.85pt;height:18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EIeQIAAAAFAAAOAAAAZHJzL2Uyb0RvYy54bWysVF1vmzAUfZ+0/2D5PQUSmiW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" o:allowoverlap="f" filled="f" strokeweight=".2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1" w:name="_Hlk14554358"/>
                      <w:bookmarkEnd w:id="1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CC4E44">
                        <w:rPr>
                          <w:b/>
                          <w:sz w:val="13"/>
                          <w:szCs w:val="13"/>
                        </w:rPr>
                        <w:t>,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part of </w:t>
                      </w:r>
                      <w:proofErr w:type="spellStart"/>
                      <w:r w:rsidR="00AA3F39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GUIs</w:t>
                      </w:r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cell clustering, </w:t>
      </w:r>
      <w:r w:rsidR="00674B92">
        <w:t xml:space="preserve">dimensionality reduction, </w:t>
      </w:r>
      <w:r w:rsidR="00B12C6D">
        <w:t xml:space="preserve">data visualization, trajectory analysis, and network construction. 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>functional categories, at least two algorithms were implemented. For example,</w:t>
      </w:r>
      <w:r w:rsidR="00041CB4">
        <w:t xml:space="preserve"> for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0B0A96">
        <w:rPr>
          <w:rFonts w:ascii="Courier New" w:hAnsi="Courier New" w:cs="Courier New"/>
        </w:rPr>
        <w:t>,</w:t>
      </w:r>
      <w:r w:rsidR="00B12C6D">
        <w:t xml:space="preserve"> 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two functions </w:t>
      </w:r>
      <w:r w:rsidR="00041CB4">
        <w:t xml:space="preserve">that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>using 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developed. T</w:t>
      </w:r>
      <w:r w:rsidR="000013D7">
        <w:t xml:space="preserve">he two normalization functions can be accessed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</w:t>
      </w:r>
      <w:proofErr w:type="gramStart"/>
      <w:r w:rsidR="000013D7" w:rsidRPr="000013D7">
        <w:rPr>
          <w:rFonts w:ascii="Courier New" w:hAnsi="Courier New" w:cs="Courier New"/>
        </w:rPr>
        <w:t>norm</w:t>
      </w:r>
      <w:proofErr w:type="spellEnd"/>
      <w:r w:rsidR="000013D7" w:rsidRPr="000013D7">
        <w:rPr>
          <w:rFonts w:ascii="Courier New" w:hAnsi="Courier New" w:cs="Courier New"/>
        </w:rPr>
        <w:t>(</w:t>
      </w:r>
      <w:proofErr w:type="spellStart"/>
      <w:proofErr w:type="gramEnd"/>
      <w:r w:rsidR="000013D7" w:rsidRPr="000013D7">
        <w:rPr>
          <w:rFonts w:ascii="Courier New" w:hAnsi="Courier New" w:cs="Courier New"/>
        </w:rPr>
        <w:t>X,'type</w:t>
      </w:r>
      <w:proofErr w:type="spellEnd"/>
      <w:r w:rsidR="000013D7" w:rsidRPr="000013D7">
        <w:rPr>
          <w:rFonts w:ascii="Courier New" w:hAnsi="Courier New" w:cs="Courier New"/>
        </w:rPr>
        <w:t>'</w:t>
      </w:r>
      <w:r w:rsidR="006F5C3C">
        <w:rPr>
          <w:rFonts w:ascii="Courier New" w:hAnsi="Courier New" w:cs="Courier New"/>
        </w:rPr>
        <w:t xml:space="preserve">, 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r w:rsidR="00466EE0">
        <w:t xml:space="preserve">called </w:t>
      </w:r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736B38">
        <w:t>)</w:t>
      </w:r>
      <w:r w:rsidR="006F5C3C">
        <w:t xml:space="preserve">. It contains </w:t>
      </w:r>
      <w:r w:rsidR="00736B38">
        <w:t>a</w:t>
      </w:r>
      <w:r>
        <w:t xml:space="preserve"> m</w:t>
      </w:r>
      <w:bookmarkStart w:id="2" w:name="_GoBack"/>
      <w:bookmarkEnd w:id="2"/>
      <w:r>
        <w:t xml:space="preserve">ain panel </w:t>
      </w:r>
      <w:r w:rsidR="006F5C3C">
        <w:t>with</w:t>
      </w:r>
      <w:r>
        <w:t xml:space="preserve"> seven tabs, namely </w:t>
      </w:r>
      <w:r w:rsidRPr="00466EE0">
        <w:rPr>
          <w:i/>
        </w:rPr>
        <w:t>Load Data</w:t>
      </w:r>
      <w:r>
        <w:t xml:space="preserve">, </w:t>
      </w:r>
      <w:r w:rsidRPr="00466EE0">
        <w:rPr>
          <w:i/>
        </w:rPr>
        <w:t>Filter</w:t>
      </w:r>
      <w:r>
        <w:t xml:space="preserve">, </w:t>
      </w:r>
      <w:r w:rsidRPr="00466EE0">
        <w:rPr>
          <w:i/>
        </w:rPr>
        <w:t>Normalization</w:t>
      </w:r>
      <w:r>
        <w:t xml:space="preserve">, </w:t>
      </w:r>
      <w:r w:rsidRPr="00466EE0">
        <w:rPr>
          <w:i/>
        </w:rPr>
        <w:t>Batch Correction</w:t>
      </w:r>
      <w:r>
        <w:t xml:space="preserve">, </w:t>
      </w:r>
      <w:r w:rsidRPr="00466EE0">
        <w:rPr>
          <w:i/>
        </w:rPr>
        <w:t>Imputation</w:t>
      </w:r>
      <w:r>
        <w:t xml:space="preserve">, </w:t>
      </w:r>
      <w:r w:rsidRPr="00466EE0">
        <w:rPr>
          <w:i/>
        </w:rPr>
        <w:t>Feature Selection</w:t>
      </w:r>
      <w:r>
        <w:t xml:space="preserve">, and </w:t>
      </w:r>
      <w:r w:rsidRPr="00466EE0">
        <w:rPr>
          <w:i/>
        </w:rPr>
        <w:t>Visualization</w:t>
      </w:r>
      <w:r w:rsidR="00AA3F39">
        <w:t>. These tabs</w:t>
      </w:r>
      <w:r>
        <w:t xml:space="preserve"> </w:t>
      </w:r>
      <w:r w:rsidRPr="006E2E26">
        <w:rPr>
          <w:noProof/>
        </w:rPr>
        <w:t>are ordered</w:t>
      </w:r>
      <w:r>
        <w:t xml:space="preserve"> </w:t>
      </w:r>
      <w:r w:rsidR="006F5C3C">
        <w:t xml:space="preserve">according to the order of </w:t>
      </w:r>
      <w:r w:rsidR="00223BA7">
        <w:t xml:space="preserve">the </w:t>
      </w:r>
      <w:r w:rsidR="00AA3F39">
        <w:t>general</w:t>
      </w:r>
      <w:r>
        <w:t xml:space="preserve"> workflow of </w:t>
      </w:r>
      <w:r w:rsidR="00AA3F39">
        <w:t>scRNA-seq data</w:t>
      </w:r>
      <w:r>
        <w:t>. Moving between tabs can be done by clicking the tab or clicking ‘Next’ and ‘Back’ buttons on each tab panel.</w:t>
      </w:r>
      <w:r w:rsidR="00466EE0">
        <w:t xml:space="preserve"> Command-line functions can be executed and applied to the loaded data by clicking buttons under each tab. For example, f</w:t>
      </w:r>
      <w:r w:rsidR="00A50E4D">
        <w:t xml:space="preserve">unctions for selecting cells </w:t>
      </w:r>
      <w:r w:rsidR="00466EE0">
        <w:t xml:space="preserve">by library size </w:t>
      </w:r>
      <w:r w:rsidR="00A50E4D">
        <w:t xml:space="preserve">and genes by the number of mapped reads are under </w:t>
      </w:r>
      <w:r w:rsidR="00A50E4D" w:rsidRPr="00466EE0">
        <w:rPr>
          <w:i/>
        </w:rPr>
        <w:t>Filter</w:t>
      </w:r>
      <w:r w:rsidR="00A50E4D">
        <w:t xml:space="preserve">; </w:t>
      </w:r>
      <w:r w:rsidR="00D14DA7">
        <w:t>functions for HVG selection</w:t>
      </w:r>
      <w:r w:rsidR="00D14DA7">
        <w:t xml:space="preserve"> </w:t>
      </w:r>
      <w:r w:rsidR="00D14DA7">
        <w:t xml:space="preserve">are under </w:t>
      </w:r>
      <w:r w:rsidR="00D14DA7" w:rsidRPr="00466EE0">
        <w:rPr>
          <w:i/>
        </w:rPr>
        <w:t>Feature Selection</w:t>
      </w:r>
      <w:r w:rsidR="00D14DA7">
        <w:t>; f</w:t>
      </w:r>
      <w:r w:rsidR="00A50E4D">
        <w:t xml:space="preserve">unctions for </w:t>
      </w:r>
      <w:r w:rsidR="007828A1">
        <w:t xml:space="preserve">t-SNE and PHATE </w:t>
      </w:r>
      <w:r w:rsidR="00D14DA7">
        <w:t xml:space="preserve">are under </w:t>
      </w:r>
      <w:r w:rsidR="00D14DA7" w:rsidRPr="00466EE0">
        <w:rPr>
          <w:i/>
        </w:rPr>
        <w:t>Visualization</w:t>
      </w:r>
      <w:r w:rsidR="00D14DA7">
        <w:t xml:space="preserve">. </w:t>
      </w:r>
      <w:r>
        <w:t xml:space="preserve">Under the main panel is </w:t>
      </w:r>
      <w:r w:rsidR="00C101F3">
        <w:t>a</w:t>
      </w:r>
      <w:r>
        <w:t xml:space="preserve"> panel for viewing data matrices and result table</w:t>
      </w:r>
      <w:r w:rsidR="006F5C3C">
        <w:t>s</w:t>
      </w:r>
      <w:r w:rsidR="00C101F3">
        <w:t>, where d</w:t>
      </w:r>
      <w:r>
        <w:t>ata and results can be exported into the workspace as variables or saved into external files.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A50E4D" w:rsidRDefault="00C101F3" w:rsidP="00A50E4D">
      <w:pPr>
        <w:pStyle w:val="para1"/>
        <w:ind w:firstLine="0"/>
      </w:pPr>
      <w:r>
        <w:t xml:space="preserve">For each </w:t>
      </w:r>
      <w:r w:rsidR="00F67394">
        <w:t xml:space="preserve">of </w:t>
      </w:r>
      <w:r w:rsidR="009004BA">
        <w:t xml:space="preserve">the </w:t>
      </w:r>
      <w:r>
        <w:t>categor</w:t>
      </w:r>
      <w:r w:rsidR="00F67394">
        <w:t>ies</w:t>
      </w:r>
      <w:r>
        <w:t xml:space="preserve"> of scRNA-seq data analysis methods, </w:t>
      </w:r>
      <w:r w:rsidR="009004BA">
        <w:t>several</w:t>
      </w:r>
      <w:r>
        <w:t xml:space="preserve"> </w:t>
      </w:r>
      <w:r>
        <w:t xml:space="preserve">algorithms were </w:t>
      </w:r>
      <w:r w:rsidR="00F67394">
        <w:t xml:space="preserve">either </w:t>
      </w:r>
      <w:r>
        <w:t xml:space="preserve">implemented </w:t>
      </w:r>
      <w:r w:rsidR="00F67394">
        <w:t xml:space="preserve">in </w:t>
      </w:r>
      <w:proofErr w:type="spellStart"/>
      <w:r w:rsidR="00F67394">
        <w:t>Matlab</w:t>
      </w:r>
      <w:proofErr w:type="spellEnd"/>
      <w:r w:rsidR="00F67394">
        <w:t xml:space="preserve"> or incorporated through wrapper functions</w:t>
      </w:r>
      <w:r w:rsidR="009004BA">
        <w:t xml:space="preserve"> in </w:t>
      </w:r>
      <w:proofErr w:type="spellStart"/>
      <w:r w:rsidR="009004BA">
        <w:t>scGEAToolbox</w:t>
      </w:r>
      <w:proofErr w:type="spellEnd"/>
      <w:r w:rsidR="00474832">
        <w:t xml:space="preserve">. For example,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474832">
        <w:t xml:space="preserve"> </w:t>
      </w:r>
      <w:r w:rsidR="00F67394">
        <w:t xml:space="preserve">contain </w:t>
      </w:r>
      <w:r w:rsidR="00474832">
        <w:t>implement</w:t>
      </w:r>
      <w:r w:rsidR="00F67394">
        <w:t>ations of</w:t>
      </w:r>
      <w:r w:rsidR="00474832">
        <w:t xml:space="preserve"> </w:t>
      </w:r>
      <w:r w:rsidR="00F67394">
        <w:t xml:space="preserve">two </w:t>
      </w:r>
      <w:r w:rsidR="00474832">
        <w:t xml:space="preserve">methods of </w:t>
      </w:r>
      <w:r w:rsidR="00F67394">
        <w:t>HVG detection</w:t>
      </w:r>
      <w:r w:rsidR="00F67394">
        <w:t xml:space="preserve">: one is the method of </w:t>
      </w:r>
      <w:r w:rsidR="00474832">
        <w:fldChar w:fldCharType="begin"/>
      </w:r>
      <w:r w:rsidR="00474832">
        <w:instrText xml:space="preserve"> ADDIN EN.CITE &lt;EndNote&gt;&lt;Cite&gt;&lt;Author&gt;Brennecke&lt;/Author&gt;&lt;Year&gt;2013&lt;/Year&gt;&lt;RecNum&gt;94&lt;/RecNum&gt;&lt;DisplayText&gt;(Brennecke, et al., 2013)&lt;/DisplayText&gt;&lt;record&gt;&lt;rec-number&gt;94&lt;/rec-number&gt;&lt;foreign-keys&gt;&lt;key app="EN" db-id="pe52pase0t0ef2e95sgpxzwrwfrzp2x9vv2p" timestamp="1562350805"&gt;94&lt;/key&gt;&lt;/foreign-keys&gt;&lt;ref-type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474832">
        <w:fldChar w:fldCharType="separate"/>
      </w:r>
      <w:r w:rsidR="00474832">
        <w:rPr>
          <w:noProof/>
        </w:rPr>
        <w:t>(</w:t>
      </w:r>
      <w:r w:rsidR="00474832" w:rsidRPr="003A01E2">
        <w:rPr>
          <w:noProof/>
        </w:rPr>
        <w:t>Brennecke,</w:t>
      </w:r>
      <w:r w:rsidR="00474832">
        <w:rPr>
          <w:noProof/>
        </w:rPr>
        <w:t xml:space="preserve"> et al., 2013)</w:t>
      </w:r>
      <w:r w:rsidR="00474832">
        <w:fldChar w:fldCharType="end"/>
      </w:r>
      <w:r w:rsidR="00474832">
        <w:t xml:space="preserve"> and</w:t>
      </w:r>
      <w:r w:rsidR="00F67394">
        <w:t xml:space="preserve"> the other is the method of</w:t>
      </w:r>
      <w:r w:rsidR="00474832">
        <w:t xml:space="preserve"> </w: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 </w:instrTex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EN.CITE.DATA </w:instrText>
      </w:r>
      <w:r w:rsidR="00474832">
        <w:fldChar w:fldCharType="end"/>
      </w:r>
      <w:r w:rsidR="00474832">
        <w:fldChar w:fldCharType="separate"/>
      </w:r>
      <w:r w:rsidR="00474832">
        <w:rPr>
          <w:noProof/>
        </w:rPr>
        <w:t>(Chen, et al., 2016)</w:t>
      </w:r>
      <w:r w:rsidR="00474832">
        <w:fldChar w:fldCharType="end"/>
      </w:r>
      <w:r w:rsidR="00474832">
        <w:t xml:space="preserve">; </w:t>
      </w:r>
      <w:r w:rsidR="00474832" w:rsidRPr="00474832">
        <w:rPr>
          <w:rFonts w:ascii="Courier New" w:hAnsi="Courier New" w:cs="Courier New"/>
        </w:rPr>
        <w:t>sc_sc3</w:t>
      </w:r>
      <w:r w:rsidR="00474832">
        <w:t xml:space="preserve"> </w:t>
      </w:r>
      <w:r w:rsidR="00F67394">
        <w:t xml:space="preserve">contains the </w:t>
      </w:r>
      <w:r w:rsidR="00474832">
        <w:t>implement</w:t>
      </w:r>
      <w:r w:rsidR="007828A1">
        <w:t>ation of</w:t>
      </w:r>
      <w:r w:rsidR="00474832">
        <w:t xml:space="preserve"> SC3</w:t>
      </w:r>
      <w:r w:rsidR="007828A1">
        <w:t xml:space="preserve"> </w: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 </w:instrTex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EN.CITE.DATA </w:instrText>
      </w:r>
      <w:r w:rsidR="007828A1">
        <w:fldChar w:fldCharType="end"/>
      </w:r>
      <w:r w:rsidR="007828A1">
        <w:fldChar w:fldCharType="separate"/>
      </w:r>
      <w:r w:rsidR="007828A1">
        <w:rPr>
          <w:noProof/>
        </w:rPr>
        <w:t>(Kiselev, et al., 2017)</w:t>
      </w:r>
      <w:r w:rsidR="007828A1">
        <w:fldChar w:fldCharType="end"/>
      </w:r>
      <w:r w:rsidR="007828A1">
        <w:t xml:space="preserve"> </w:t>
      </w:r>
      <w:r w:rsidR="00474832">
        <w:t xml:space="preserve"> for </w:t>
      </w:r>
      <w:r w:rsidR="007828A1">
        <w:t xml:space="preserve">consensus </w:t>
      </w:r>
      <w:r w:rsidR="00474832">
        <w:t xml:space="preserve">clustering;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474832">
        <w:t xml:space="preserve"> </w:t>
      </w:r>
      <w:r w:rsidR="007828A1">
        <w:t xml:space="preserve">contains the </w:t>
      </w:r>
      <w:r w:rsidR="00474832">
        <w:t>impl</w:t>
      </w:r>
      <w:r w:rsidR="008058F0">
        <w:t>e</w:t>
      </w:r>
      <w:r w:rsidR="00474832">
        <w:t>ment</w:t>
      </w:r>
      <w:r w:rsidR="007828A1">
        <w:t>ation of</w:t>
      </w:r>
      <w:r w:rsidR="009004BA">
        <w:t xml:space="preserve"> the</w:t>
      </w:r>
      <w:r w:rsidR="007828A1">
        <w:t xml:space="preserve"> </w:t>
      </w:r>
      <w:proofErr w:type="spellStart"/>
      <w:r w:rsidR="007828A1">
        <w:t>dna</w:t>
      </w:r>
      <w:proofErr w:type="spellEnd"/>
      <w:r w:rsidR="007828A1">
        <w:t>/</w:t>
      </w:r>
      <w:proofErr w:type="spellStart"/>
      <w:r w:rsidR="007828A1">
        <w:t>PCnet</w:t>
      </w:r>
      <w:proofErr w:type="spellEnd"/>
      <w:r w:rsidR="00474832">
        <w:t xml:space="preserve"> </w:t>
      </w:r>
      <w:r w:rsidR="007828A1">
        <w:t xml:space="preserve">method </w:t>
      </w:r>
      <w:r w:rsidR="007828A1">
        <w:fldChar w:fldCharType="begin"/>
      </w:r>
      <w:r w:rsidR="007828A1">
        <w:instrText xml:space="preserve"> ADDIN EN.CITE &lt;EndNote&gt;&lt;Cite&gt;&lt;Author&gt;Gill&lt;/Author&gt;&lt;Year&gt;2010&lt;/Year&gt;&lt;RecNum&gt;114&lt;/RecNum&gt;&lt;DisplayText&gt;(Gill, et al., 2010)&lt;/DisplayText&gt;&lt;record&gt;&lt;rec-number&gt;114&lt;/rec-number&gt;&lt;foreign-keys&gt;&lt;key app="EN" db-id="pe52pase0t0ef2e95sgpxzwrwfrzp2x9vv2p" timestamp="1563729043"&gt;114&lt;/key&gt;&lt;/foreign-keys&gt;&lt;ref-type name="Journal Article"&gt;17&lt;/ref-type&gt;&lt;contributors&gt;&lt;authors&gt;&lt;author&gt;Gill, R.&lt;/author&gt;&lt;author&gt;Datta, S.&lt;/author&gt;&lt;author&gt;Datta, S.&lt;/author&gt;&lt;/authors&gt;&lt;/contributors&gt;&lt;auth-address&gt;Department of Mathematics, University of Louisville, Louisville, KY 40292, USA.&lt;/auth-address&gt;&lt;titles&gt;&lt;title&gt;A statistical framework for differential network analysis from microarray data&lt;/title&gt;&lt;secondary-title&gt;BMC Bioinformatics&lt;/secondary-title&gt;&lt;/titles&gt;&lt;periodical&gt;&lt;full-title&gt;BMC Bioinformatics&lt;/full-title&gt;&lt;/periodical&gt;&lt;pages&gt;95&lt;/pages&gt;&lt;volume&gt;11&lt;/volume&gt;&lt;edition&gt;2010/02/23&lt;/edition&gt;&lt;keywords&gt;&lt;keyword&gt;Computational Biology/methods&lt;/keyword&gt;&lt;keyword&gt;Gene Expression Profiling/methods&lt;/keyword&gt;&lt;keyword&gt;*Gene Regulatory Networks&lt;/keyword&gt;&lt;keyword&gt;*Models, Statistical&lt;/keyword&gt;&lt;keyword&gt;Oligonucleotide Array Sequence Analysis/*methods&lt;/keyword&gt;&lt;/keywords&gt;&lt;dates&gt;&lt;year&gt;2010&lt;/year&gt;&lt;pub-dates&gt;&lt;date&gt;Feb 19&lt;/date&gt;&lt;/pub-dates&gt;&lt;/dates&gt;&lt;isbn&gt;1471-2105 (Electronic)&amp;#xD;1471-2105 (Linking)&lt;/isbn&gt;&lt;accession-num&gt;20170493&lt;/accession-num&gt;&lt;urls&gt;&lt;related-urls&gt;&lt;url&gt;https://www.ncbi.nlm.nih.gov/pubmed/20170493&lt;/url&gt;&lt;/related-urls&gt;&lt;/urls&gt;&lt;custom2&gt;PMC2838870&lt;/custom2&gt;&lt;electronic-resource-num&gt;10.1186/1471-2105-11-95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(Gill, et al., 2010)</w:t>
      </w:r>
      <w:r w:rsidR="007828A1">
        <w:fldChar w:fldCharType="end"/>
      </w:r>
      <w:r w:rsidR="007828A1">
        <w:t xml:space="preserve"> for principal component network inference</w:t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106D70">
        <w:t xml:space="preserve"> impl</w:t>
      </w:r>
      <w:r w:rsidR="008058F0">
        <w:t>e</w:t>
      </w:r>
      <w:r w:rsidR="00106D70">
        <w:t xml:space="preserve">ments TSCAN </w:t>
      </w:r>
      <w:r w:rsidR="007828A1">
        <w:fldChar w:fldCharType="begin"/>
      </w:r>
      <w:r w:rsidR="007828A1">
        <w:instrText xml:space="preserve"> ADDIN EN.CITE &lt;EndNote&gt;&lt;Cite&gt;&lt;Author&gt;Ji&lt;/Author&gt;&lt;Year&gt;2016&lt;/Year&gt;&lt;RecNum&gt;116&lt;/RecNum&gt;&lt;DisplayText&gt;(Ji and Ji, 2016)&lt;/DisplayText&gt;&lt;record&gt;&lt;rec-number&gt;116&lt;/rec-number&gt;&lt;foreign-keys&gt;&lt;key app="EN" db-id="pe52pase0t0ef2e95sgpxzwrwfrzp2x9vv2p" timestamp="1563729236"&gt;116&lt;/key&gt;&lt;/foreign-keys&gt;&lt;ref-type name="Journal Article"&gt;17&lt;/ref-type&gt;&lt;contributors&gt;&lt;authors&gt;&lt;author&gt;Ji, Z.&lt;/author&gt;&lt;author&gt;Ji, H.&lt;/author&gt;&lt;/authors&gt;&lt;/contributors&gt;&lt;auth-address&gt;Department of Biostatistics, Johns Hopkins University Bloomberg School of Public Health, 615 North Wolfe Street, Baltimore, MD 21205, USA.&amp;#xD;Department of Biostatistics, Johns Hopkins University Bloomberg School of Public Health, 615 North Wolfe Street, Baltimore, MD 21205, USA hji@jhu.edu.&lt;/auth-address&gt;&lt;titles&gt;&lt;title&gt;TSCAN: Pseudo-time reconstruction and evaluation in single-cell RNA-seq analysis&lt;/title&gt;&lt;secondary-title&gt;Nucleic Acids Res&lt;/secondary-title&gt;&lt;/titles&gt;&lt;periodical&gt;&lt;full-title&gt;Nucleic Acids Res&lt;/full-title&gt;&lt;/periodical&gt;&lt;pages&gt;e117&lt;/pages&gt;&lt;volume&gt;44&lt;/volume&gt;&lt;number&gt;13&lt;/number&gt;&lt;edition&gt;2016/05/15&lt;/edition&gt;&lt;keywords&gt;&lt;keyword&gt;Computational Biology&lt;/keyword&gt;&lt;keyword&gt;Gene Expression Regulation&lt;/keyword&gt;&lt;keyword&gt;Genetic Heterogeneity&lt;/keyword&gt;&lt;keyword&gt;High-Throughput Nucleotide Sequencing&lt;/keyword&gt;&lt;keyword&gt;RNA/*genetics&lt;/keyword&gt;&lt;keyword&gt;Single-Cell Analysis/*methods&lt;/keyword&gt;&lt;keyword&gt;*Software&lt;/keyword&gt;&lt;keyword&gt;Transcriptome/*genetics&lt;/keyword&gt;&lt;keyword&gt;User-Computer Interface&lt;/keyword&gt;&lt;/keywords&gt;&lt;dates&gt;&lt;year&gt;2016&lt;/year&gt;&lt;pub-dates&gt;&lt;date&gt;Jul 27&lt;/date&gt;&lt;/pub-dates&gt;&lt;/dates&gt;&lt;isbn&gt;1362-4962 (Electronic)&amp;#xD;0305-1048 (Linking)&lt;/isbn&gt;&lt;accession-num&gt;27179027&lt;/accession-num&gt;&lt;urls&gt;&lt;related-urls&gt;&lt;url&gt;https://www.ncbi.nlm.nih.gov/pubmed/27179027&lt;/url&gt;&lt;/related-urls&gt;&lt;/urls&gt;&lt;custom2&gt;PMC4994863&lt;/custom2&gt;&lt;electronic-resource-num&gt;10.1093/nar/gkw430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(Ji and Ji, 2016)</w:t>
      </w:r>
      <w:r w:rsidR="007828A1">
        <w:fldChar w:fldCharType="end"/>
      </w:r>
      <w:r w:rsidR="007828A1">
        <w:t xml:space="preserve"> </w:t>
      </w:r>
      <w:r w:rsidR="00106D70">
        <w:t>for trajectory analysis</w:t>
      </w:r>
      <w:r w:rsidR="00474832">
        <w:t>.</w:t>
      </w:r>
      <w:r w:rsidR="007828A1">
        <w:t xml:space="preserve"> Some computational tasks are shared by many tools.</w:t>
      </w:r>
      <w:r w:rsidR="00D14DA7">
        <w:t xml:space="preserve"> </w:t>
      </w:r>
      <w:r w:rsidR="007828A1">
        <w:t>In this case, w</w:t>
      </w:r>
      <w:r w:rsidR="00A84152">
        <w:t xml:space="preserve">e developed </w:t>
      </w:r>
      <w:r w:rsidR="00D14DA7">
        <w:t xml:space="preserve">“modular” </w:t>
      </w:r>
      <w:r w:rsidR="007828A1">
        <w:t>f</w:t>
      </w:r>
      <w:r w:rsidR="00A84152">
        <w:t xml:space="preserve">unctions that perform </w:t>
      </w:r>
      <w:r w:rsidR="00D14DA7">
        <w:t xml:space="preserve">these common </w:t>
      </w:r>
      <w:r w:rsidR="00A84152">
        <w:t>tasks</w:t>
      </w:r>
      <w:r w:rsidR="00D14DA7">
        <w:t xml:space="preserve">, e.g., </w:t>
      </w:r>
      <w:r w:rsidR="00A84152">
        <w:t xml:space="preserve">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</w:t>
      </w:r>
      <w:r w:rsidR="00D14DA7">
        <w:t>a</w:t>
      </w:r>
      <w:r w:rsidR="00A84152">
        <w:t xml:space="preserve"> function that </w:t>
      </w:r>
      <w:r w:rsidR="00D14DA7">
        <w:t xml:space="preserve">uses </w:t>
      </w:r>
      <w:r w:rsidR="00A84152">
        <w:t xml:space="preserve">different methods to estimate the number of clusters. </w:t>
      </w:r>
      <w:r w:rsidR="00D14DA7">
        <w:t>T</w:t>
      </w:r>
      <w:r w:rsidR="00A84152">
        <w:t xml:space="preserve">hese modular functions can be utilized in </w:t>
      </w:r>
      <w:r w:rsidR="00D14DA7">
        <w:t>the process of new algorithm development</w:t>
      </w:r>
      <w:r w:rsidR="00A84152">
        <w:t>.</w:t>
      </w:r>
      <w:r w:rsidR="00D14DA7">
        <w:t xml:space="preserve"> </w:t>
      </w:r>
      <w:r w:rsidR="00A84152">
        <w:t xml:space="preserve">In </w:t>
      </w:r>
      <w:proofErr w:type="spellStart"/>
      <w:r w:rsidR="00A84152">
        <w:t>scGEAToolbox</w:t>
      </w:r>
      <w:proofErr w:type="spellEnd"/>
      <w:r w:rsidR="00A84152">
        <w:t xml:space="preserve">, </w:t>
      </w:r>
      <w:r w:rsidR="00474832">
        <w:t xml:space="preserve">a new function for </w:t>
      </w:r>
      <w:r w:rsidR="008058F0">
        <w:t xml:space="preserve">the </w:t>
      </w:r>
      <w:r w:rsidR="00474832">
        <w:t>visualization of gene</w:t>
      </w:r>
      <w:r w:rsidR="00A84152">
        <w:t xml:space="preserve">s’ summary statistics </w:t>
      </w:r>
      <w:r w:rsidR="00A84152">
        <w:t>was introduced</w:t>
      </w:r>
      <w:r w:rsidR="00474832">
        <w:t xml:space="preserve">. </w:t>
      </w:r>
      <w:r w:rsidR="00A84152">
        <w:t>The</w:t>
      </w:r>
      <w:r w:rsidR="00474832">
        <w:t xml:space="preserve"> method </w:t>
      </w:r>
      <w:r w:rsidR="00474832" w:rsidRPr="003A01E2">
        <w:rPr>
          <w:noProof/>
        </w:rPr>
        <w:t>is based</w:t>
      </w:r>
      <w:r w:rsidR="00474832">
        <w:t xml:space="preserve"> on the 3</w:t>
      </w:r>
      <w:r w:rsidR="00B12A20">
        <w:t>-</w:t>
      </w:r>
      <w:r w:rsidR="00474832">
        <w:t xml:space="preserve">D spline fit curve in a space defined by expression mean (µ), </w:t>
      </w:r>
      <w:r w:rsidR="00736B38">
        <w:t>coefficient of variation (</w:t>
      </w:r>
      <w:r w:rsidR="00474832">
        <w:t>CV</w:t>
      </w:r>
      <w:r w:rsidR="00736B38">
        <w:t>)</w:t>
      </w:r>
      <w:r w:rsidR="00474832">
        <w:t>, and the dropout rate (</w:t>
      </w:r>
      <w:proofErr w:type="spellStart"/>
      <w:r w:rsidR="00474832" w:rsidRPr="003A01E2">
        <w:rPr>
          <w:noProof/>
        </w:rPr>
        <w:t>r</w:t>
      </w:r>
      <w:r w:rsidR="00474832" w:rsidRPr="003A01E2">
        <w:rPr>
          <w:noProof/>
          <w:vertAlign w:val="subscript"/>
        </w:rPr>
        <w:t>drop</w:t>
      </w:r>
      <w:proofErr w:type="spellEnd"/>
      <w:r w:rsidR="00474832">
        <w:t>) of genes.</w:t>
      </w:r>
      <w:r w:rsidR="00A84152">
        <w:t xml:space="preserve"> It can be applied to identify </w:t>
      </w:r>
      <w:r w:rsidR="00736B38">
        <w:t>feature genes</w:t>
      </w:r>
      <w:r w:rsidR="00A84152">
        <w:t xml:space="preserve">, i.e., </w:t>
      </w:r>
      <w:r w:rsidR="00736B38">
        <w:t>those</w:t>
      </w:r>
      <w:r w:rsidR="00A84152">
        <w:t xml:space="preserve"> with </w:t>
      </w:r>
      <w:r w:rsidR="00736B38">
        <w:t>cell-to-cell</w:t>
      </w:r>
      <w:r w:rsidR="00A84152">
        <w:t xml:space="preserve"> expression </w:t>
      </w:r>
      <w:r w:rsidR="00736B38">
        <w:t>variability in</w:t>
      </w:r>
      <w:r w:rsidR="00A84152">
        <w:t xml:space="preserve"> µ, CV, and </w:t>
      </w:r>
      <w:r w:rsidR="00A84152" w:rsidRPr="003A01E2">
        <w:rPr>
          <w:noProof/>
        </w:rPr>
        <w:t>r</w:t>
      </w:r>
      <w:r w:rsidR="00A84152" w:rsidRPr="003A01E2">
        <w:rPr>
          <w:noProof/>
          <w:vertAlign w:val="subscript"/>
        </w:rPr>
        <w:t>drop</w:t>
      </w:r>
      <w:r w:rsidR="00A84152">
        <w:t xml:space="preserve"> deviated from the </w:t>
      </w:r>
      <w:r w:rsidR="00A84152" w:rsidRPr="001B11CE">
        <w:rPr>
          <w:noProof/>
        </w:rPr>
        <w:t>majority</w:t>
      </w:r>
      <w:r w:rsidR="00A84152">
        <w:t xml:space="preserve"> of other genes (</w:t>
      </w:r>
      <w:r w:rsidR="00A84152" w:rsidRPr="00736B38">
        <w:rPr>
          <w:b/>
        </w:rPr>
        <w:t>Fig. 1</w:t>
      </w:r>
      <w:r w:rsidR="00A84152">
        <w:t>, upper right).</w:t>
      </w:r>
    </w:p>
    <w:p w:rsidR="00A50E4D" w:rsidRDefault="00A50E4D" w:rsidP="00A50E4D">
      <w:pPr>
        <w:pStyle w:val="para1"/>
        <w:ind w:firstLine="0"/>
      </w:pPr>
    </w:p>
    <w:p w:rsidR="00D14DA7" w:rsidRDefault="00D14DA7" w:rsidP="00A50E4D">
      <w:pPr>
        <w:pStyle w:val="para1"/>
        <w:ind w:firstLine="0"/>
      </w:pPr>
      <w:r>
        <w:t>To expand its functionality</w:t>
      </w:r>
      <w:r w:rsidR="00106D70">
        <w:t>,</w:t>
      </w:r>
      <w:r w:rsidR="00A84152"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incorporates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 xml:space="preserve">SIMLR,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PHATE, </w:t>
      </w:r>
      <w:proofErr w:type="spellStart"/>
      <w:r w:rsidR="0044108C">
        <w:t>scDiffMap</w:t>
      </w:r>
      <w:proofErr w:type="spellEnd"/>
      <w:r w:rsidR="005C25C2">
        <w:t xml:space="preserve"> and GENIE3. All these tools </w:t>
      </w:r>
      <w:r w:rsidR="00A50E4D">
        <w:t>can be accessed</w:t>
      </w:r>
      <w:r w:rsidR="005C25C2">
        <w:t xml:space="preserve"> through </w:t>
      </w:r>
      <w:r w:rsidR="00682A0C">
        <w:t>corresponding</w:t>
      </w:r>
      <w:r w:rsidR="005C25C2">
        <w:t xml:space="preserve"> wrapper functions,</w:t>
      </w:r>
      <w:r w:rsidR="00682A0C">
        <w:t xml:space="preserve"> e.g.,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>run_genie3</w:t>
      </w:r>
      <w:r w:rsidR="00682A0C">
        <w:t xml:space="preserve">. Like </w:t>
      </w:r>
      <w:r w:rsidR="00B13068">
        <w:t>other</w:t>
      </w:r>
      <w:r w:rsidR="00682A0C">
        <w:t xml:space="preserve"> </w:t>
      </w:r>
      <w:r w:rsidR="00B13068">
        <w:t>functions, m</w:t>
      </w:r>
      <w:r w:rsidR="005C25C2">
        <w:t xml:space="preserve">ost of </w:t>
      </w:r>
      <w:r w:rsidR="00B13068">
        <w:t xml:space="preserve">these </w:t>
      </w:r>
      <w:r w:rsidR="00682A0C">
        <w:t xml:space="preserve">wrapper functions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inputs.</w:t>
      </w:r>
      <w:r>
        <w:t xml:space="preserve"> Furthermore, </w:t>
      </w:r>
      <w:proofErr w:type="spellStart"/>
      <w:r>
        <w:t>scGEAToolbox</w:t>
      </w:r>
      <w:proofErr w:type="spellEnd"/>
      <w:r>
        <w:t xml:space="preserve"> also includes w</w:t>
      </w:r>
      <w:r w:rsidR="00B13068">
        <w:t xml:space="preserve">rapper functions for </w:t>
      </w:r>
      <w:r>
        <w:t xml:space="preserve">selected </w:t>
      </w:r>
      <w:r w:rsidR="0044108C">
        <w:t>R packages,</w:t>
      </w:r>
      <w:r w:rsidR="00682A0C">
        <w:t xml:space="preserve"> e.g.,</w:t>
      </w:r>
      <w:r w:rsidR="005C25C2">
        <w:t xml:space="preserve"> UMAP, SCODE </w:t>
      </w:r>
      <w:r w:rsidR="00682A0C">
        <w:t xml:space="preserve">and </w:t>
      </w:r>
      <w:r w:rsidR="005C25C2">
        <w:t>Monocle</w:t>
      </w:r>
      <w:r w:rsidR="00B13068">
        <w:t xml:space="preserve">, which facilitates the use of </w:t>
      </w:r>
      <w:r w:rsidR="00736B38">
        <w:t>diverse sources of functions</w:t>
      </w:r>
      <w:r w:rsidR="00B13068">
        <w:t xml:space="preserve"> and tools</w:t>
      </w:r>
      <w:r>
        <w:t xml:space="preserve"> developed in R</w:t>
      </w:r>
      <w:r w:rsidR="00736B38">
        <w:t>.</w:t>
      </w:r>
    </w:p>
    <w:p w:rsidR="00D14DA7" w:rsidRDefault="00D14DA7" w:rsidP="00A50E4D">
      <w:pPr>
        <w:pStyle w:val="para1"/>
        <w:ind w:firstLine="0"/>
      </w:pPr>
    </w:p>
    <w:p w:rsidR="00B12A20" w:rsidRDefault="00E83AAB" w:rsidP="00A50E4D">
      <w:pPr>
        <w:pStyle w:val="para1"/>
        <w:ind w:firstLine="0"/>
      </w:pPr>
      <w:r>
        <w:t>As m</w:t>
      </w:r>
      <w:r w:rsidR="006F5C3C">
        <w:t>any functions</w:t>
      </w:r>
      <w:r w:rsidR="00A50E4D">
        <w:t xml:space="preserve"> </w:t>
      </w:r>
      <w:r w:rsidR="006F5C3C">
        <w:t xml:space="preserve">can be </w:t>
      </w:r>
      <w:r w:rsidR="00A50E4D">
        <w:t xml:space="preserve">run </w:t>
      </w:r>
      <w:r w:rsidR="006F5C3C">
        <w:t xml:space="preserve">through </w:t>
      </w:r>
      <w:r>
        <w:t xml:space="preserve">the GUI </w:t>
      </w:r>
      <w:r w:rsidR="006F5C3C">
        <w:t xml:space="preserve">of </w:t>
      </w:r>
      <w:proofErr w:type="spellStart"/>
      <w:r w:rsidR="006F5C3C">
        <w:t>scGEApp</w:t>
      </w:r>
      <w:proofErr w:type="spellEnd"/>
      <w:r>
        <w:t xml:space="preserve"> without usi</w:t>
      </w:r>
      <w:proofErr w:type="spellStart"/>
      <w:r>
        <w:t xml:space="preserve">ng </w:t>
      </w:r>
      <w:proofErr w:type="spellEnd"/>
      <w:r>
        <w:t xml:space="preserve">the command line, </w:t>
      </w:r>
      <w:proofErr w:type="spellStart"/>
      <w:r>
        <w:t>scGEAToolbox</w:t>
      </w:r>
      <w:proofErr w:type="spellEnd"/>
      <w:r>
        <w:t xml:space="preserve"> is a </w:t>
      </w:r>
      <w:r w:rsidR="009004BA">
        <w:t>useful</w:t>
      </w:r>
      <w:r>
        <w:t xml:space="preserve"> training tool for beginners</w:t>
      </w:r>
      <w:r w:rsidR="00A50E4D">
        <w:t>.</w:t>
      </w:r>
      <w:r w:rsidR="006F5C3C">
        <w:t xml:space="preserve"> </w:t>
      </w:r>
      <w:r w:rsidR="002579D6">
        <w:t>Example d</w:t>
      </w:r>
      <w:r w:rsidR="008D2891">
        <w:t>ata set</w:t>
      </w:r>
      <w:r w:rsidR="00736B38">
        <w:t>s</w:t>
      </w:r>
      <w:r w:rsidR="008D2891">
        <w:t xml:space="preserve"> </w:t>
      </w:r>
      <w:r w:rsidR="00736B38">
        <w:t xml:space="preserve">are </w:t>
      </w:r>
      <w:r w:rsidR="009004BA">
        <w:t>given</w:t>
      </w:r>
      <w:r>
        <w:t xml:space="preserve"> </w:t>
      </w:r>
      <w:r w:rsidR="00736B38">
        <w:t>in</w:t>
      </w:r>
      <w:r w:rsidR="002579D6">
        <w:t xml:space="preserve"> a</w:t>
      </w:r>
      <w:r w:rsidR="00736B38">
        <w:t xml:space="preserve"> subfolder</w:t>
      </w:r>
      <w:r w:rsidR="009004BA">
        <w:t>; four demonstration script files are provided</w:t>
      </w:r>
      <w:r w:rsidR="00A03083">
        <w:t>.</w:t>
      </w:r>
      <w:r w:rsidR="00B12A20">
        <w:t xml:space="preserve"> 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</w:p>
    <w:p w:rsidR="00B12A20" w:rsidRDefault="00B12A20" w:rsidP="00B12A20">
      <w:pPr>
        <w:pStyle w:val="para-first"/>
      </w:pP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</w:t>
      </w:r>
      <w:r w:rsidR="00840331">
        <w:t>Toolbox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r>
        <w:t>scRNA-seq data</w:t>
      </w:r>
      <w:r w:rsidR="00E83AAB">
        <w:t xml:space="preserve"> using the </w:t>
      </w:r>
      <w:proofErr w:type="spellStart"/>
      <w:r w:rsidR="00E83AAB">
        <w:t>Matlab</w:t>
      </w:r>
      <w:proofErr w:type="spellEnd"/>
      <w:r w:rsidR="00E83AAB">
        <w:t xml:space="preserve"> environment</w:t>
      </w:r>
      <w:r>
        <w:t>. It makes two</w:t>
      </w:r>
      <w:r w:rsidR="001274D2">
        <w:t xml:space="preserve"> key contributions: </w:t>
      </w:r>
      <w:r w:rsidR="00E91FC8">
        <w:t>(1) i</w:t>
      </w:r>
      <w:r w:rsidR="00840331">
        <w:t xml:space="preserve">mplementing and incorporating a large number of </w:t>
      </w:r>
      <w:r w:rsidR="00E83AAB">
        <w:t xml:space="preserve">high-level analytical </w:t>
      </w:r>
      <w:r w:rsidR="00840331">
        <w:t>functions</w:t>
      </w:r>
      <w:r w:rsidR="00E91FC8">
        <w:t xml:space="preserve">, and (2) defining an easy-to-use GUI for commonly used methods in scRNA-seq data analysis. We anticipate that these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E83AAB">
        <w:t xml:space="preserve"> and </w:t>
      </w:r>
      <w:r w:rsidR="00840331">
        <w:t>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D14DA7" w:rsidRPr="00D14DA7" w:rsidRDefault="00B209CA" w:rsidP="00D14DA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14DA7" w:rsidRPr="00D14DA7">
        <w:t>Brennecke, P.</w:t>
      </w:r>
      <w:r w:rsidR="00D14DA7" w:rsidRPr="00D14DA7">
        <w:rPr>
          <w:i/>
        </w:rPr>
        <w:t>, et al.</w:t>
      </w:r>
      <w:r w:rsidR="00D14DA7" w:rsidRPr="00D14DA7">
        <w:t xml:space="preserve"> Accounting for technical noise in single-cell RNA-seq experiments. </w:t>
      </w:r>
      <w:r w:rsidR="00D14DA7" w:rsidRPr="00D14DA7">
        <w:rPr>
          <w:i/>
        </w:rPr>
        <w:t>Nat Methods</w:t>
      </w:r>
      <w:r w:rsidR="00D14DA7" w:rsidRPr="00D14DA7">
        <w:t xml:space="preserve"> 2013;10(11):1093-1095.</w:t>
      </w:r>
    </w:p>
    <w:p w:rsidR="00D14DA7" w:rsidRPr="00D14DA7" w:rsidRDefault="00D14DA7" w:rsidP="00D14DA7">
      <w:pPr>
        <w:pStyle w:val="EndNoteBibliography"/>
      </w:pPr>
      <w:r w:rsidRPr="00D14DA7">
        <w:t>Chen, H.I.</w:t>
      </w:r>
      <w:r w:rsidRPr="00D14DA7">
        <w:rPr>
          <w:i/>
        </w:rPr>
        <w:t>, et al.</w:t>
      </w:r>
      <w:r w:rsidRPr="00D14DA7">
        <w:t xml:space="preserve"> Detection of high variability in gene expression from single-cell RNA-seq profiling. </w:t>
      </w:r>
      <w:r w:rsidRPr="00D14DA7">
        <w:rPr>
          <w:i/>
        </w:rPr>
        <w:t>BMC Genomics</w:t>
      </w:r>
      <w:r w:rsidRPr="00D14DA7">
        <w:t xml:space="preserve"> 2016;17 Suppl 7:508.</w:t>
      </w:r>
    </w:p>
    <w:p w:rsidR="00D14DA7" w:rsidRPr="00D14DA7" w:rsidRDefault="00D14DA7" w:rsidP="00D14DA7">
      <w:pPr>
        <w:pStyle w:val="EndNoteBibliography"/>
      </w:pPr>
      <w:r w:rsidRPr="00D14DA7">
        <w:t xml:space="preserve">Gill, R., Datta, S. and Datta, S. A statistical framework for differential network analysis from microarray data. </w:t>
      </w:r>
      <w:r w:rsidRPr="00D14DA7">
        <w:rPr>
          <w:i/>
        </w:rPr>
        <w:t>BMC Bioinformatics</w:t>
      </w:r>
      <w:r w:rsidRPr="00D14DA7">
        <w:t xml:space="preserve"> 2010;11:95.</w:t>
      </w:r>
    </w:p>
    <w:p w:rsidR="00D14DA7" w:rsidRPr="00D14DA7" w:rsidRDefault="00D14DA7" w:rsidP="00D14DA7">
      <w:pPr>
        <w:pStyle w:val="EndNoteBibliography"/>
      </w:pPr>
      <w:r w:rsidRPr="00D14DA7">
        <w:t xml:space="preserve">Ji, Z. and Ji, H. TSCAN: Pseudo-time reconstruction and evaluation in single-cell RNA-seq analysis. </w:t>
      </w:r>
      <w:r w:rsidRPr="00D14DA7">
        <w:rPr>
          <w:i/>
        </w:rPr>
        <w:t>Nucleic Acids Res</w:t>
      </w:r>
      <w:r w:rsidRPr="00D14DA7">
        <w:t xml:space="preserve"> 2016;44(13):e117.</w:t>
      </w:r>
    </w:p>
    <w:p w:rsidR="00D14DA7" w:rsidRPr="00D14DA7" w:rsidRDefault="00D14DA7" w:rsidP="00D14DA7">
      <w:pPr>
        <w:pStyle w:val="EndNoteBibliography"/>
      </w:pPr>
      <w:r w:rsidRPr="00D14DA7">
        <w:t>Kiselev, V.Y.</w:t>
      </w:r>
      <w:r w:rsidRPr="00D14DA7">
        <w:rPr>
          <w:i/>
        </w:rPr>
        <w:t>, et al.</w:t>
      </w:r>
      <w:r w:rsidRPr="00D14DA7">
        <w:t xml:space="preserve"> SC3: consensus clustering of single-cell RNA-seq data. </w:t>
      </w:r>
      <w:r w:rsidRPr="00D14DA7">
        <w:rPr>
          <w:i/>
        </w:rPr>
        <w:t>Nat Methods</w:t>
      </w:r>
      <w:r w:rsidRPr="00D14DA7">
        <w:t xml:space="preserve"> 2017;14(5):483-486.</w:t>
      </w:r>
    </w:p>
    <w:p w:rsidR="0066776F" w:rsidRDefault="00B209CA" w:rsidP="00783825">
      <w:pPr>
        <w:pStyle w:val="EndNoteBibliography"/>
        <w:ind w:left="360" w:hanging="360"/>
      </w:pPr>
      <w:r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DD7" w:rsidRDefault="00357DD7">
      <w:r>
        <w:separator/>
      </w:r>
    </w:p>
  </w:endnote>
  <w:endnote w:type="continuationSeparator" w:id="0">
    <w:p w:rsidR="00357DD7" w:rsidRDefault="0035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DD7" w:rsidRDefault="00357DD7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357DD7" w:rsidRDefault="00357DD7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357DD7" w:rsidRDefault="00357DD7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wFANBasY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52pase0t0ef2e95sgpxzwrwfrzp2x9vv2p&quot;&gt;MyEndNoteLibrary_purecells&lt;record-ids&gt;&lt;item&gt;94&lt;/item&gt;&lt;item&gt;110&lt;/item&gt;&lt;item&gt;113&lt;/item&gt;&lt;item&gt;114&lt;/item&gt;&lt;item&gt;116&lt;/item&gt;&lt;/record-ids&gt;&lt;/item&gt;&lt;/Libraries&gt;"/>
  </w:docVars>
  <w:rsids>
    <w:rsidRoot w:val="00F45DC5"/>
    <w:rsid w:val="000013D7"/>
    <w:rsid w:val="0001213C"/>
    <w:rsid w:val="00041CB4"/>
    <w:rsid w:val="00050B51"/>
    <w:rsid w:val="00063765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20FBC"/>
    <w:rsid w:val="001274D2"/>
    <w:rsid w:val="00141A2A"/>
    <w:rsid w:val="00163472"/>
    <w:rsid w:val="001643C4"/>
    <w:rsid w:val="00164CC5"/>
    <w:rsid w:val="0016560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2000FF"/>
    <w:rsid w:val="00203733"/>
    <w:rsid w:val="00223BA7"/>
    <w:rsid w:val="00227445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57DD7"/>
    <w:rsid w:val="003649B4"/>
    <w:rsid w:val="00366351"/>
    <w:rsid w:val="00370837"/>
    <w:rsid w:val="00386DA0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614"/>
    <w:rsid w:val="00454567"/>
    <w:rsid w:val="00466EE0"/>
    <w:rsid w:val="00473EDA"/>
    <w:rsid w:val="00474832"/>
    <w:rsid w:val="00475585"/>
    <w:rsid w:val="004768E7"/>
    <w:rsid w:val="00486E58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513FFC"/>
    <w:rsid w:val="00527659"/>
    <w:rsid w:val="005372A5"/>
    <w:rsid w:val="00544ED1"/>
    <w:rsid w:val="00547891"/>
    <w:rsid w:val="005504AD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5A2E"/>
    <w:rsid w:val="006F5C3C"/>
    <w:rsid w:val="0072388D"/>
    <w:rsid w:val="00736B38"/>
    <w:rsid w:val="007466FD"/>
    <w:rsid w:val="00764FE0"/>
    <w:rsid w:val="00766ED8"/>
    <w:rsid w:val="00776B59"/>
    <w:rsid w:val="007828A1"/>
    <w:rsid w:val="00783825"/>
    <w:rsid w:val="00784EA2"/>
    <w:rsid w:val="00790AD7"/>
    <w:rsid w:val="00793C1E"/>
    <w:rsid w:val="00793CCD"/>
    <w:rsid w:val="007A05AD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40331"/>
    <w:rsid w:val="0084220D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004BA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769D"/>
    <w:rsid w:val="00BB6B87"/>
    <w:rsid w:val="00BE5EE2"/>
    <w:rsid w:val="00C02AF3"/>
    <w:rsid w:val="00C101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D1016"/>
    <w:rsid w:val="00CD1067"/>
    <w:rsid w:val="00CD55D8"/>
    <w:rsid w:val="00CD5E42"/>
    <w:rsid w:val="00CF605A"/>
    <w:rsid w:val="00D018A2"/>
    <w:rsid w:val="00D14DA7"/>
    <w:rsid w:val="00D2114F"/>
    <w:rsid w:val="00D23473"/>
    <w:rsid w:val="00D540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F4AE8"/>
    <w:rsid w:val="00E23415"/>
    <w:rsid w:val="00E30A62"/>
    <w:rsid w:val="00E355EE"/>
    <w:rsid w:val="00E46B56"/>
    <w:rsid w:val="00E47C25"/>
    <w:rsid w:val="00E51253"/>
    <w:rsid w:val="00E678E8"/>
    <w:rsid w:val="00E83AAB"/>
    <w:rsid w:val="00E91FC8"/>
    <w:rsid w:val="00E94995"/>
    <w:rsid w:val="00EC5ED4"/>
    <w:rsid w:val="00ED352A"/>
    <w:rsid w:val="00EE1FE6"/>
    <w:rsid w:val="00EF5D71"/>
    <w:rsid w:val="00F137B5"/>
    <w:rsid w:val="00F14B10"/>
    <w:rsid w:val="00F17E0D"/>
    <w:rsid w:val="00F362A7"/>
    <w:rsid w:val="00F45DC5"/>
    <w:rsid w:val="00F4766C"/>
    <w:rsid w:val="00F521F8"/>
    <w:rsid w:val="00F67394"/>
    <w:rsid w:val="00F73DD1"/>
    <w:rsid w:val="00F74650"/>
    <w:rsid w:val="00FA7B6C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C4DB9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00369-4C7D-4E62-9F67-9DF1F301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131</TotalTime>
  <Pages>1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11</cp:revision>
  <cp:lastPrinted>2019-02-07T20:38:00Z</cp:lastPrinted>
  <dcterms:created xsi:type="dcterms:W3CDTF">2019-07-21T03:32:00Z</dcterms:created>
  <dcterms:modified xsi:type="dcterms:W3CDTF">2019-07-21T17:39:00Z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