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proofErr w:type="spellStart"/>
            <w:r>
              <w:t>scGE</w:t>
            </w:r>
            <w:r w:rsidR="00C801AB">
              <w:t>AToolbox</w:t>
            </w:r>
            <w:proofErr w:type="spellEnd"/>
            <w:r>
              <w:t xml:space="preserve">: </w:t>
            </w:r>
            <w:r w:rsidR="00921960">
              <w:t>a</w:t>
            </w:r>
            <w:r>
              <w:t xml:space="preserve"> </w:t>
            </w:r>
            <w:proofErr w:type="spellStart"/>
            <w:r w:rsidR="00CC64E3" w:rsidRPr="00435193">
              <w:t>M</w:t>
            </w:r>
            <w:r w:rsidR="00921960">
              <w:t>atlab</w:t>
            </w:r>
            <w:proofErr w:type="spellEnd"/>
            <w:r w:rsidR="00921960">
              <w:t xml:space="preserve"> </w:t>
            </w:r>
            <w:r w:rsidR="00C801AB">
              <w:t>toolbox</w:t>
            </w:r>
            <w:r>
              <w:t xml:space="preserve"> for single-cell </w:t>
            </w:r>
            <w:r w:rsidR="00BB6B87">
              <w:t>RNA sequencing data</w:t>
            </w:r>
            <w:r w:rsidR="00C801AB">
              <w:t xml:space="preserve"> analysis</w:t>
            </w:r>
          </w:p>
          <w:p w:rsidR="00CC64E3" w:rsidRPr="00F362A7" w:rsidRDefault="001274D2" w:rsidP="00513FFC">
            <w:pPr>
              <w:pStyle w:val="Author-Group"/>
            </w:pPr>
            <w:r>
              <w:t>James J. Cai</w:t>
            </w:r>
            <w:r w:rsidR="00CC64E3" w:rsidRPr="00F362A7">
              <w:rPr>
                <w:vertAlign w:val="superscript"/>
              </w:rPr>
              <w:t>1</w:t>
            </w:r>
            <w:r>
              <w:rPr>
                <w:vertAlign w:val="superscript"/>
              </w:rPr>
              <w:t>,</w:t>
            </w:r>
            <w:proofErr w:type="gramStart"/>
            <w:r>
              <w:rPr>
                <w:vertAlign w:val="superscript"/>
              </w:rPr>
              <w:t>2</w:t>
            </w:r>
            <w:r w:rsidR="00CC64E3" w:rsidRPr="00F362A7">
              <w:rPr>
                <w:vertAlign w:val="superscript"/>
              </w:rPr>
              <w:t>,</w:t>
            </w:r>
            <w:r w:rsidR="00CC64E3" w:rsidRPr="00F362A7">
              <w:rPr>
                <w:rFonts w:ascii="Times New Roman" w:hAnsi="Times New Roman"/>
                <w:vertAlign w:val="superscript"/>
              </w:rPr>
              <w:t>*</w:t>
            </w:r>
            <w:proofErr w:type="gramEnd"/>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2577E4" w:rsidRDefault="00CC64E3" w:rsidP="00C219FC">
            <w:pPr>
              <w:pStyle w:val="Abstract-Text"/>
            </w:pPr>
            <w:r w:rsidRPr="00DA7E18">
              <w:rPr>
                <w:b/>
                <w:bCs/>
              </w:rPr>
              <w:t>Motivation:</w:t>
            </w:r>
            <w:r w:rsidRPr="00DA7E18">
              <w:t xml:space="preserve"> </w:t>
            </w:r>
            <w:r w:rsidR="00C801AB">
              <w:t>S</w:t>
            </w:r>
            <w:r w:rsidR="0066776F" w:rsidRPr="0066776F">
              <w:t>ingle</w:t>
            </w:r>
            <w:r w:rsidR="001643C4">
              <w:t>-</w:t>
            </w:r>
            <w:r w:rsidR="0066776F" w:rsidRPr="0066776F">
              <w:t>cell</w:t>
            </w:r>
            <w:r w:rsidR="001643C4">
              <w:t xml:space="preserve"> RNA sequencing (scRNA-seq) </w:t>
            </w:r>
            <w:r w:rsidR="00C801AB">
              <w:t xml:space="preserve">technology has revolutionized the way research is done in biomedical sciences. It </w:t>
            </w:r>
            <w:r w:rsidR="001643C4">
              <w:t xml:space="preserve">provides an unprecedented level of resolution to </w:t>
            </w:r>
            <w:r w:rsidR="00C50397">
              <w:t>cell type heterogeneity</w:t>
            </w:r>
            <w:r w:rsidR="00C801AB">
              <w:t xml:space="preserve"> and gene expression variability across individual cells</w:t>
            </w:r>
            <w:r w:rsidR="00C219FC">
              <w:t>.</w:t>
            </w:r>
            <w:r w:rsidR="00C801AB">
              <w:t xml:space="preserve"> </w:t>
            </w:r>
            <w:r w:rsidR="00C801AB" w:rsidRPr="00C801AB">
              <w:t>Analyzing scRNA-seq data is challenging given that the data is sparse and high-dimensional</w:t>
            </w:r>
            <w:r w:rsidR="00C801AB">
              <w:t xml:space="preserve">. </w:t>
            </w:r>
          </w:p>
          <w:p w:rsidR="002577E4" w:rsidRDefault="00CC64E3" w:rsidP="002577E4">
            <w:pPr>
              <w:pStyle w:val="Abstract-Text"/>
            </w:pPr>
            <w:r w:rsidRPr="00DA7E18">
              <w:rPr>
                <w:b/>
              </w:rPr>
              <w:t>Results:</w:t>
            </w:r>
            <w:r w:rsidRPr="00DA7E18">
              <w:t xml:space="preserve"> </w:t>
            </w:r>
            <w:r w:rsidR="00087A0F" w:rsidRPr="00087A0F">
              <w:t xml:space="preserve">We </w:t>
            </w:r>
            <w:r w:rsidR="002577E4">
              <w:t xml:space="preserve">developed </w:t>
            </w:r>
            <w:proofErr w:type="spellStart"/>
            <w:r w:rsidR="002577E4" w:rsidRPr="00C801AB">
              <w:t>scGEAToolbox</w:t>
            </w:r>
            <w:proofErr w:type="spellEnd"/>
            <w:r w:rsidR="002577E4">
              <w:t>—</w:t>
            </w:r>
            <w:r w:rsidR="002577E4" w:rsidRPr="00C801AB">
              <w:t xml:space="preserve">a </w:t>
            </w:r>
            <w:proofErr w:type="spellStart"/>
            <w:r w:rsidR="002577E4" w:rsidRPr="00C801AB">
              <w:t>Matlab</w:t>
            </w:r>
            <w:proofErr w:type="spellEnd"/>
            <w:r w:rsidR="002577E4" w:rsidRPr="00C801AB">
              <w:t xml:space="preserve"> toolbox for scRNA-seq data analysis</w:t>
            </w:r>
            <w:r w:rsidR="002577E4">
              <w:t xml:space="preserve">, that contains </w:t>
            </w:r>
            <w:r w:rsidR="002577E4" w:rsidRPr="00C801AB">
              <w:t xml:space="preserve">a comprehensive set of functions </w:t>
            </w:r>
            <w:r w:rsidR="002577E4">
              <w:t>for</w:t>
            </w:r>
            <w:r w:rsidR="002577E4" w:rsidRPr="00C801AB">
              <w:t xml:space="preserve"> </w:t>
            </w:r>
            <w:r w:rsidR="002577E4">
              <w:t xml:space="preserve">data </w:t>
            </w:r>
            <w:r w:rsidR="002577E4" w:rsidRPr="00C801AB">
              <w:t>normalization,</w:t>
            </w:r>
            <w:r w:rsidR="002577E4">
              <w:t xml:space="preserve"> feature selection</w:t>
            </w:r>
            <w:r w:rsidR="002577E4" w:rsidRPr="00C801AB">
              <w:t xml:space="preserve">, </w:t>
            </w:r>
            <w:r w:rsidR="00F521F8">
              <w:t>batch correction, imputation,</w:t>
            </w:r>
            <w:r w:rsidR="00F521F8" w:rsidRPr="00C801AB">
              <w:t xml:space="preserve"> </w:t>
            </w:r>
            <w:r w:rsidR="002577E4" w:rsidRPr="00C801AB">
              <w:t>cell clustering, trajectory analysis, and network inference.</w:t>
            </w:r>
            <w:r w:rsidR="002577E4">
              <w:t xml:space="preserve"> </w:t>
            </w:r>
            <w:r w:rsidR="00A53661">
              <w:t xml:space="preserve">While most of </w:t>
            </w:r>
            <w:r w:rsidR="002577E4">
              <w:t xml:space="preserve">functions are </w:t>
            </w:r>
            <w:r w:rsidR="00A53661">
              <w:t xml:space="preserve">implemented by using native </w:t>
            </w:r>
            <w:proofErr w:type="spellStart"/>
            <w:r w:rsidR="00A53661">
              <w:t>Matlab</w:t>
            </w:r>
            <w:proofErr w:type="spellEnd"/>
            <w:r w:rsidR="00A53661">
              <w:t xml:space="preserve"> code, a number of wrapper functions</w:t>
            </w:r>
            <w:r w:rsidR="00F521F8">
              <w:t xml:space="preserve"> are developed to</w:t>
            </w:r>
            <w:r w:rsidR="00A53661">
              <w:t xml:space="preserve"> allow </w:t>
            </w:r>
            <w:proofErr w:type="spellStart"/>
            <w:r w:rsidR="00A53661">
              <w:t>Matlab</w:t>
            </w:r>
            <w:proofErr w:type="spellEnd"/>
            <w:r w:rsidR="00A53661">
              <w:t xml:space="preserve"> users to call</w:t>
            </w:r>
            <w:r w:rsidR="00F521F8">
              <w:t xml:space="preserve"> the “</w:t>
            </w:r>
            <w:r w:rsidR="00A53661">
              <w:t>third-party</w:t>
            </w:r>
            <w:r w:rsidR="00F521F8">
              <w:t>”</w:t>
            </w:r>
            <w:r w:rsidR="00A53661">
              <w:t xml:space="preserve"> tools, which are not </w:t>
            </w:r>
            <w:r w:rsidR="00F521F8">
              <w:t>necessarily</w:t>
            </w:r>
            <w:r w:rsidR="00A53661">
              <w:t xml:space="preserve"> developed in </w:t>
            </w:r>
            <w:proofErr w:type="spellStart"/>
            <w:r w:rsidR="00A53661">
              <w:t>Matlab</w:t>
            </w:r>
            <w:proofErr w:type="spellEnd"/>
            <w:r w:rsidR="00A53661">
              <w:t xml:space="preserve">. Furthermore, </w:t>
            </w:r>
            <w:proofErr w:type="spellStart"/>
            <w:r w:rsidR="00A53661">
              <w:t>scGEAToolbox</w:t>
            </w:r>
            <w:proofErr w:type="spellEnd"/>
            <w:r w:rsidR="00A53661">
              <w:t xml:space="preserve"> </w:t>
            </w:r>
            <w:r w:rsidR="002577E4">
              <w:t xml:space="preserve">is also equipped with graphic user interfaces generated with </w:t>
            </w:r>
            <w:r w:rsidR="002577E4" w:rsidRPr="00A1636C">
              <w:t>App Designer</w:t>
            </w:r>
            <w:r w:rsidR="002577E4">
              <w:t xml:space="preserve">, making </w:t>
            </w:r>
            <w:r w:rsidR="00A53661">
              <w:t>it</w:t>
            </w:r>
            <w:r w:rsidR="002577E4">
              <w:t xml:space="preserve"> an easy-to-use application for </w:t>
            </w:r>
            <w:r w:rsidR="00A53661">
              <w:t xml:space="preserve">quick </w:t>
            </w:r>
            <w:r w:rsidR="002577E4">
              <w:t>data filtering, normalization</w:t>
            </w:r>
            <w:r w:rsidR="00F521F8">
              <w:t>,</w:t>
            </w:r>
            <w:r w:rsidR="00A53661">
              <w:t xml:space="preserve"> </w:t>
            </w:r>
            <w:r w:rsidR="002577E4">
              <w:t>visualization</w:t>
            </w:r>
            <w:r w:rsidR="00F521F8">
              <w:t>, and downstream functional enrichment analyses</w:t>
            </w:r>
            <w:r w:rsidR="00A53661">
              <w:t>.</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F521F8" w:rsidRPr="002D584E">
                <w:rPr>
                  <w:rStyle w:val="Hyperlink"/>
                </w:rPr>
                <w:t>https://github.com/jamesjcai/scGEAToolbox</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9" w:history="1">
              <w:r w:rsidR="000B5BB4" w:rsidRPr="006E56A9">
                <w:rPr>
                  <w:rStyle w:val="Hyperlink"/>
                  <w:lang w:val="en-GB" w:eastAsia="en-IN"/>
                </w:rPr>
                <w:t>jcai@tamu.edu</w:t>
              </w:r>
            </w:hyperlink>
            <w:r w:rsidR="000B5BB4">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400C63" w:rsidRDefault="00400C63">
      <w:pPr>
        <w:pStyle w:val="AbstractHead"/>
        <w:spacing w:line="14" w:lineRule="exact"/>
      </w:pPr>
    </w:p>
    <w:p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141A2A" w:rsidP="001A0125">
      <w:pPr>
        <w:pStyle w:val="Heading1"/>
      </w:pPr>
      <w:r>
        <w:t>Introduction</w:t>
      </w:r>
    </w:p>
    <w:p w:rsidR="00527659" w:rsidRDefault="000B5BB4" w:rsidP="000B11FC">
      <w:pPr>
        <w:pStyle w:val="para1"/>
        <w:ind w:firstLine="0"/>
      </w:pPr>
      <w:r>
        <w:t>S</w:t>
      </w:r>
      <w:r w:rsidRPr="000B5BB4">
        <w:t>ingle cell technologies, especially single-cell RNA sequenci</w:t>
      </w:r>
      <w:r>
        <w:t>ng (scRNA-seq), have revolutionized the</w:t>
      </w:r>
      <w:r w:rsidR="00B539DD">
        <w:t xml:space="preserve"> way biologists </w:t>
      </w:r>
      <w:r w:rsidR="002557E8">
        <w:t xml:space="preserve">and geneticists </w:t>
      </w:r>
      <w:r w:rsidR="00B539DD">
        <w:t xml:space="preserve">study </w:t>
      </w:r>
      <w:r w:rsidR="00F521F8">
        <w:t xml:space="preserve">cell types and </w:t>
      </w:r>
      <w:r w:rsidR="002C358E">
        <w:t>gene expression</w:t>
      </w:r>
      <w:r w:rsidR="00F521F8">
        <w:t xml:space="preserve"> variability</w:t>
      </w:r>
      <w:r w:rsidR="00B539DD">
        <w:t>.</w:t>
      </w:r>
      <w:r w:rsidR="002C358E">
        <w:t xml:space="preserve"> </w:t>
      </w:r>
      <w:r w:rsidR="00527659">
        <w:t xml:space="preserve">Analyzing scRNA-seq data, however, is a challenging task. The reasons include that scRNA-seq data sets tend to be sparse due to the limitation of sensitivity of single-cell assay system; the data is naturally high-dimensional and is often confounded by nuisance technical effects. </w:t>
      </w:r>
      <w:r w:rsidR="00F14B10">
        <w:t>The analyses of scRNA-seq data in general contain filtering, normalization, feature selection, cell clustering, marker gene identification, cell type identification,</w:t>
      </w:r>
      <w:r w:rsidR="00790AD7">
        <w:t xml:space="preserve"> </w:t>
      </w:r>
      <w:proofErr w:type="spellStart"/>
      <w:r w:rsidR="00F14B10">
        <w:t>pseudotime</w:t>
      </w:r>
      <w:proofErr w:type="spellEnd"/>
      <w:r w:rsidR="00F14B10">
        <w:t xml:space="preserve"> and trajectory analysis, and single-cell regulatory network construction. When multiple data sets are included, batch effect correction and alignment between cells from different data sets are often required. For every aspect of these scRNA-seq data analyses, there is plethora collection of software tools that have been developed to fulfil the task.</w:t>
      </w:r>
      <w:r w:rsidR="00607782">
        <w:t xml:space="preserve"> However, majority of these tools are developed in computer language other than </w:t>
      </w:r>
      <w:proofErr w:type="spellStart"/>
      <w:r w:rsidR="00607782">
        <w:t>Matlab</w:t>
      </w:r>
      <w:proofErr w:type="spellEnd"/>
      <w:r w:rsidR="00607782">
        <w:t>, including R and python.</w:t>
      </w:r>
      <w:r w:rsidR="00C46F86">
        <w:t xml:space="preserve"> </w:t>
      </w:r>
      <w:proofErr w:type="spellStart"/>
      <w:r w:rsidR="00607782">
        <w:t>Matlab</w:t>
      </w:r>
      <w:proofErr w:type="spellEnd"/>
      <w:r w:rsidR="00607782" w:rsidRPr="00607782">
        <w:t xml:space="preserve"> is a scientific programming language and provides </w:t>
      </w:r>
      <w:r w:rsidR="00607782" w:rsidRPr="00607782">
        <w:t>strong mathematical and numerical support for the implementation of advanced algorithms. Its basic data element is the matrix</w:t>
      </w:r>
      <w:r w:rsidR="00607782">
        <w:t xml:space="preserve">; </w:t>
      </w:r>
      <w:r w:rsidR="00607782" w:rsidRPr="00607782">
        <w:t xml:space="preserve">mathematical operations that work on arrays or matrices are built-in to the </w:t>
      </w:r>
      <w:proofErr w:type="spellStart"/>
      <w:r w:rsidR="00607782" w:rsidRPr="00607782">
        <w:t>Matlab</w:t>
      </w:r>
      <w:proofErr w:type="spellEnd"/>
      <w:r w:rsidR="00607782" w:rsidRPr="00607782">
        <w:t xml:space="preserve"> environment</w:t>
      </w:r>
      <w:r w:rsidR="00C46F86">
        <w:t>.</w:t>
      </w:r>
      <w:r w:rsidR="00607782">
        <w:t xml:space="preserve"> </w:t>
      </w:r>
      <w:proofErr w:type="spellStart"/>
      <w:r w:rsidR="00607782" w:rsidRPr="00607782">
        <w:t>Matlab</w:t>
      </w:r>
      <w:proofErr w:type="spellEnd"/>
      <w:r w:rsidR="00607782" w:rsidRPr="00607782">
        <w:t xml:space="preserve"> contains many </w:t>
      </w:r>
      <w:r w:rsidR="00834F54">
        <w:t>toolboxes</w:t>
      </w:r>
      <w:r w:rsidR="00607782">
        <w:t xml:space="preserve"> such as </w:t>
      </w:r>
      <w:r w:rsidR="00834F54">
        <w:t>statistics, bioinformatics, optimization and image processing</w:t>
      </w:r>
      <w:r w:rsidR="00607782" w:rsidRPr="00607782">
        <w:t>.</w:t>
      </w:r>
      <w:r w:rsidR="00607782">
        <w:t xml:space="preserve"> </w:t>
      </w:r>
      <w:r w:rsidR="00C46F86">
        <w:t xml:space="preserve">Given that scRNA-seq data </w:t>
      </w:r>
      <w:r w:rsidR="00C46F86" w:rsidRPr="00834F54">
        <w:t>s increasing exponentially over tim</w:t>
      </w:r>
      <w:r w:rsidR="00C46F86">
        <w:t>e, we believe n</w:t>
      </w:r>
      <w:r w:rsidR="00834F54">
        <w:t xml:space="preserve">ew </w:t>
      </w:r>
      <w:proofErr w:type="spellStart"/>
      <w:r w:rsidR="00607782">
        <w:t>Matlab</w:t>
      </w:r>
      <w:proofErr w:type="spellEnd"/>
      <w:r w:rsidR="00834F54">
        <w:t xml:space="preserve"> toolbox</w:t>
      </w:r>
      <w:r w:rsidR="00C46F86">
        <w:t>es</w:t>
      </w:r>
      <w:r w:rsidR="00834F54">
        <w:t xml:space="preserve"> dedicated to </w:t>
      </w:r>
      <w:r w:rsidR="00607782">
        <w:t xml:space="preserve">scRNA-seq data analysis </w:t>
      </w:r>
      <w:r w:rsidR="00C46F86">
        <w:t>are</w:t>
      </w:r>
      <w:r w:rsidR="00834F54">
        <w:t xml:space="preserve"> highly desired</w:t>
      </w:r>
      <w:r w:rsidR="00C46F86">
        <w:t>.</w:t>
      </w:r>
    </w:p>
    <w:p w:rsidR="00834F54" w:rsidRDefault="00834F54" w:rsidP="00834F54">
      <w:pPr>
        <w:pStyle w:val="Heading1"/>
      </w:pPr>
      <w:r w:rsidRPr="001A0125">
        <w:t>Methods</w:t>
      </w:r>
    </w:p>
    <w:p w:rsidR="00182B83" w:rsidRDefault="00834F54" w:rsidP="000013D7">
      <w:pPr>
        <w:pStyle w:val="para1"/>
        <w:ind w:firstLine="0"/>
      </w:pPr>
      <w:r>
        <w:t xml:space="preserve">We developed </w:t>
      </w:r>
      <w:proofErr w:type="spellStart"/>
      <w:r>
        <w:t>scGEAToolbox</w:t>
      </w:r>
      <w:proofErr w:type="spellEnd"/>
      <w:r>
        <w:t xml:space="preserve"> using </w:t>
      </w:r>
      <w:proofErr w:type="spellStart"/>
      <w:r w:rsidRPr="001274D2">
        <w:t>M</w:t>
      </w:r>
      <w:r>
        <w:t>atlab</w:t>
      </w:r>
      <w:proofErr w:type="spellEnd"/>
      <w:r>
        <w:t xml:space="preserve"> v</w:t>
      </w:r>
      <w:r w:rsidRPr="001274D2">
        <w:t>9.5</w:t>
      </w:r>
      <w:r>
        <w:t xml:space="preserve"> (</w:t>
      </w:r>
      <w:r w:rsidRPr="001274D2">
        <w:t>R2018b)</w:t>
      </w:r>
      <w:r>
        <w:t xml:space="preserve">. Functions in </w:t>
      </w:r>
      <w:proofErr w:type="spellStart"/>
      <w:r>
        <w:t>scGEAToolbox</w:t>
      </w:r>
      <w:proofErr w:type="spellEnd"/>
      <w:r>
        <w:t xml:space="preserve"> </w:t>
      </w:r>
      <w:r w:rsidRPr="006E2E26">
        <w:rPr>
          <w:noProof/>
        </w:rPr>
        <w:t>are written</w:t>
      </w:r>
      <w:r>
        <w:t xml:space="preserve"> in native </w:t>
      </w:r>
      <w:proofErr w:type="spellStart"/>
      <w:r>
        <w:t>Matlab</w:t>
      </w:r>
      <w:proofErr w:type="spellEnd"/>
      <w:r>
        <w:t xml:space="preserve"> </w:t>
      </w:r>
      <w:r w:rsidRPr="006E2E26">
        <w:rPr>
          <w:noProof/>
        </w:rPr>
        <w:t>and</w:t>
      </w:r>
      <w:r>
        <w:t xml:space="preserve"> the app GUIs </w:t>
      </w:r>
      <w:r w:rsidRPr="006E2E26">
        <w:rPr>
          <w:noProof/>
        </w:rPr>
        <w:t>are created</w:t>
      </w:r>
      <w:r>
        <w:t xml:space="preserve"> with App Designer. </w:t>
      </w:r>
      <w:r w:rsidR="009F4495">
        <w:t xml:space="preserve">Most </w:t>
      </w:r>
      <w:proofErr w:type="spellStart"/>
      <w:r w:rsidR="009F4495">
        <w:t>scGEAToolbox</w:t>
      </w:r>
      <w:proofErr w:type="spellEnd"/>
      <w:r w:rsidR="009F4495">
        <w:t xml:space="preserve"> functions takes two variables: </w:t>
      </w:r>
      <w:r w:rsidR="009F4495" w:rsidRPr="009F4495">
        <w:rPr>
          <w:rFonts w:ascii="Courier New" w:hAnsi="Courier New" w:cs="Courier New"/>
        </w:rPr>
        <w:t>X</w:t>
      </w:r>
      <w:r w:rsidR="009F4495">
        <w:t xml:space="preserve"> and </w:t>
      </w:r>
      <w:proofErr w:type="spellStart"/>
      <w:r w:rsidR="009F4495" w:rsidRPr="009F4495">
        <w:rPr>
          <w:rFonts w:ascii="Courier New" w:hAnsi="Courier New" w:cs="Courier New"/>
        </w:rPr>
        <w:t>genelist</w:t>
      </w:r>
      <w:proofErr w:type="spellEnd"/>
      <w:r w:rsidR="009F4495">
        <w:t xml:space="preserve">, as the input </w:t>
      </w:r>
      <w:r w:rsidR="009F4495" w:rsidRPr="009F4495">
        <w:t>scRNA-seq data</w:t>
      </w:r>
      <w:r w:rsidR="009F4495">
        <w:t xml:space="preserve">. </w:t>
      </w:r>
      <w:r w:rsidR="009F4495" w:rsidRPr="009F4495">
        <w:rPr>
          <w:rFonts w:ascii="Courier New" w:hAnsi="Courier New" w:cs="Courier New"/>
        </w:rPr>
        <w:t>X</w:t>
      </w:r>
      <w:r w:rsidR="009F4495">
        <w:t xml:space="preserve"> is</w:t>
      </w:r>
      <w:r w:rsidR="009F4495" w:rsidRPr="009F4495">
        <w:t xml:space="preserve"> a matrix of dimension </w:t>
      </w:r>
      <w:proofErr w:type="spellStart"/>
      <w:r w:rsidR="009F4495" w:rsidRPr="009F4495">
        <w:rPr>
          <w:i/>
        </w:rPr>
        <w:t>n</w:t>
      </w:r>
      <w:r w:rsidR="009F4495" w:rsidRPr="009F4495">
        <w:t>×</w:t>
      </w:r>
      <w:r w:rsidR="009F4495" w:rsidRPr="009F4495">
        <w:rPr>
          <w:i/>
        </w:rPr>
        <w:t>m</w:t>
      </w:r>
      <w:proofErr w:type="spellEnd"/>
      <w:r w:rsidR="009F4495" w:rsidRPr="009F4495">
        <w:t xml:space="preserve">, where </w:t>
      </w:r>
      <w:r w:rsidR="009F4495" w:rsidRPr="009F4495">
        <w:rPr>
          <w:i/>
        </w:rPr>
        <w:t>n</w:t>
      </w:r>
      <w:r w:rsidR="009F4495" w:rsidRPr="009F4495">
        <w:t xml:space="preserve"> denotes the total number of genes and </w:t>
      </w:r>
      <w:r w:rsidR="009F4495" w:rsidRPr="009F4495">
        <w:rPr>
          <w:i/>
        </w:rPr>
        <w:t>m</w:t>
      </w:r>
      <w:r w:rsidR="009F4495" w:rsidRPr="009F4495">
        <w:t xml:space="preserve"> denotes the total number of cells.</w:t>
      </w:r>
      <w:r w:rsidR="00790AD7">
        <w:t xml:space="preserve"> </w:t>
      </w:r>
      <w:r w:rsidR="00B12C6D">
        <w:t xml:space="preserve">Main categories of functions include: file input and output, data normalization, gene and cell filtration, detection of highly variable genes (HVGs), batch effect correction, cell clustering, data visualization, trajectory analysis, and regulatory network construction. For each </w:t>
      </w:r>
      <w:r w:rsidR="00B12C6D">
        <w:lastRenderedPageBreak/>
        <w:t xml:space="preserve">of functional categories, at least two algorithms were implemented or incorporated in </w:t>
      </w:r>
      <w:proofErr w:type="spellStart"/>
      <w:r w:rsidR="00B12C6D">
        <w:t>scGEAToolbox</w:t>
      </w:r>
      <w:proofErr w:type="spellEnd"/>
      <w:r w:rsidR="00B12C6D">
        <w:t xml:space="preserve">. For example, </w:t>
      </w:r>
      <w:proofErr w:type="spellStart"/>
      <w:r w:rsidR="00B12C6D" w:rsidRPr="00B12C6D">
        <w:rPr>
          <w:rFonts w:ascii="Courier New" w:hAnsi="Courier New" w:cs="Courier New"/>
        </w:rPr>
        <w:t>norm_libsize</w:t>
      </w:r>
      <w:proofErr w:type="spellEnd"/>
      <w:r w:rsidR="00B12C6D">
        <w:t xml:space="preserve"> and </w:t>
      </w:r>
      <w:proofErr w:type="spellStart"/>
      <w:r w:rsidR="00B12C6D" w:rsidRPr="00B12C6D">
        <w:rPr>
          <w:rFonts w:ascii="Courier New" w:hAnsi="Courier New" w:cs="Courier New"/>
        </w:rPr>
        <w:t>norm_deseq</w:t>
      </w:r>
      <w:proofErr w:type="spellEnd"/>
      <w:r w:rsidR="00B12C6D">
        <w:t xml:space="preserve"> are two functions for normalization using library size and using the method of</w:t>
      </w:r>
      <w:r w:rsidR="000013D7">
        <w:t xml:space="preserve"> </w:t>
      </w:r>
      <w:proofErr w:type="spellStart"/>
      <w:r w:rsidR="00B12C6D">
        <w:t>DESeq</w:t>
      </w:r>
      <w:proofErr w:type="spellEnd"/>
      <w:r w:rsidR="000013D7">
        <w:t xml:space="preserve"> </w:t>
      </w:r>
      <w:r w:rsidR="000013D7">
        <w:fldChar w:fldCharType="begin"/>
      </w:r>
      <w:r w:rsidR="000013D7">
        <w:instrText xml:space="preserve"> ADDIN EN.CITE &lt;EndNote&gt;&lt;Cite&gt;&lt;Author&gt;Anders&lt;/Author&gt;&lt;Year&gt;2010&lt;/Year&gt;&lt;RecNum&gt;111&lt;/RecNum&gt;&lt;DisplayText&gt;(Anders and Huber, 2010)&lt;/DisplayText&gt;&lt;record&gt;&lt;rec-number&gt;111&lt;/rec-number&gt;&lt;foreign-keys&gt;&lt;key app="EN" db-id="pe52pase0t0ef2e95sgpxzwrwfrzp2x9vv2p" timestamp="1563650465"&gt;111&lt;/key&gt;&lt;/foreign-keys&gt;&lt;ref-type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Techniques&lt;/keyword&gt;&lt;/keywords&gt;&lt;dates&gt;&lt;year&gt;2010&lt;/year&gt;&lt;/dates&gt;&lt;isbn&gt;1474-760X (Electronic)&amp;#xD;1474-7596 (Linking)&lt;/isbn&gt;&lt;accession-num&gt;20979621&lt;/accession-num&gt;&lt;urls&gt;&lt;related-urls&gt;&lt;url&gt;https://www.ncbi.nlm.nih.gov/pubmed/20979621&lt;/url&gt;&lt;/related-urls&gt;&lt;/urls&gt;&lt;custom2&gt;PMC3218662&lt;/custom2&gt;&lt;electronic-resource-num&gt;10.1186/gb-2010-11-10-r106&lt;/electronic-resource-num&gt;&lt;/record&gt;&lt;/Cite&gt;&lt;/EndNote&gt;</w:instrText>
      </w:r>
      <w:r w:rsidR="000013D7">
        <w:fldChar w:fldCharType="separate"/>
      </w:r>
      <w:r w:rsidR="000013D7">
        <w:rPr>
          <w:noProof/>
        </w:rPr>
        <w:t>(Anders and Huber, 2010)</w:t>
      </w:r>
      <w:r w:rsidR="000013D7">
        <w:fldChar w:fldCharType="end"/>
      </w:r>
      <w:r w:rsidR="000013D7">
        <w:t xml:space="preserve">. Furthermore, </w:t>
      </w:r>
      <w:proofErr w:type="spellStart"/>
      <w:r w:rsidR="000013D7">
        <w:t>scGEAToolbox</w:t>
      </w:r>
      <w:proofErr w:type="spellEnd"/>
      <w:r w:rsidR="000013D7">
        <w:t xml:space="preserve"> also provides an unified entry function called </w:t>
      </w:r>
      <w:proofErr w:type="spellStart"/>
      <w:r w:rsidR="000013D7" w:rsidRPr="000013D7">
        <w:rPr>
          <w:rFonts w:ascii="Courier New" w:hAnsi="Courier New" w:cs="Courier New"/>
        </w:rPr>
        <w:t>sc_norm</w:t>
      </w:r>
      <w:proofErr w:type="spellEnd"/>
      <w:r w:rsidR="000013D7">
        <w:t xml:space="preserve">, with which the two normalization functions can be accessed using </w:t>
      </w:r>
      <w:proofErr w:type="spellStart"/>
      <w:r w:rsidR="000013D7" w:rsidRPr="000013D7">
        <w:rPr>
          <w:rFonts w:ascii="Courier New" w:hAnsi="Courier New" w:cs="Courier New"/>
        </w:rPr>
        <w:t>sc_</w:t>
      </w:r>
      <w:proofErr w:type="gramStart"/>
      <w:r w:rsidR="000013D7" w:rsidRPr="000013D7">
        <w:rPr>
          <w:rFonts w:ascii="Courier New" w:hAnsi="Courier New" w:cs="Courier New"/>
        </w:rPr>
        <w:t>norm</w:t>
      </w:r>
      <w:proofErr w:type="spellEnd"/>
      <w:r w:rsidR="000013D7" w:rsidRPr="000013D7">
        <w:rPr>
          <w:rFonts w:ascii="Courier New" w:hAnsi="Courier New" w:cs="Courier New"/>
        </w:rPr>
        <w:t>(</w:t>
      </w:r>
      <w:proofErr w:type="gramEnd"/>
      <w:r w:rsidR="000013D7" w:rsidRPr="000013D7">
        <w:rPr>
          <w:rFonts w:ascii="Courier New" w:hAnsi="Courier New" w:cs="Courier New"/>
        </w:rPr>
        <w:t>X,</w:t>
      </w:r>
      <w:r w:rsidR="00766ED8">
        <w:rPr>
          <w:rFonts w:ascii="Courier New" w:hAnsi="Courier New" w:cs="Courier New"/>
        </w:rPr>
        <w:t xml:space="preserve"> </w:t>
      </w:r>
      <w:r w:rsidR="000013D7" w:rsidRPr="000013D7">
        <w:rPr>
          <w:rFonts w:ascii="Courier New" w:hAnsi="Courier New" w:cs="Courier New"/>
        </w:rPr>
        <w:t>'type',</w:t>
      </w:r>
      <w:r w:rsidR="00766ED8">
        <w:rPr>
          <w:rFonts w:ascii="Courier New" w:hAnsi="Courier New" w:cs="Courier New"/>
        </w:rPr>
        <w:t xml:space="preserve"> </w:t>
      </w:r>
      <w:r w:rsidR="000013D7" w:rsidRPr="000013D7">
        <w:rPr>
          <w:rFonts w:ascii="Courier New" w:hAnsi="Courier New" w:cs="Courier New"/>
        </w:rPr>
        <w:t>'</w:t>
      </w:r>
      <w:proofErr w:type="spellStart"/>
      <w:r w:rsidR="000013D7" w:rsidRPr="000013D7">
        <w:rPr>
          <w:rFonts w:ascii="Courier New" w:hAnsi="Courier New" w:cs="Courier New"/>
        </w:rPr>
        <w:t>libsize</w:t>
      </w:r>
      <w:proofErr w:type="spellEnd"/>
      <w:r w:rsidR="000013D7" w:rsidRPr="000013D7">
        <w:rPr>
          <w:rFonts w:ascii="Courier New" w:hAnsi="Courier New" w:cs="Courier New"/>
        </w:rPr>
        <w:t>')</w:t>
      </w:r>
      <w:r w:rsidR="00766ED8">
        <w:t xml:space="preserve"> a</w:t>
      </w:r>
      <w:r w:rsidR="000013D7">
        <w:t xml:space="preserve">nd </w:t>
      </w:r>
      <w:proofErr w:type="spellStart"/>
      <w:r w:rsidR="000013D7" w:rsidRPr="000013D7">
        <w:rPr>
          <w:rFonts w:ascii="Courier New" w:hAnsi="Courier New" w:cs="Courier New"/>
        </w:rPr>
        <w:t>sc_norm</w:t>
      </w:r>
      <w:proofErr w:type="spellEnd"/>
      <w:r w:rsidR="000013D7" w:rsidRPr="000013D7">
        <w:rPr>
          <w:rFonts w:ascii="Courier New" w:hAnsi="Courier New" w:cs="Courier New"/>
        </w:rPr>
        <w:t>(X,</w:t>
      </w:r>
      <w:r w:rsidR="00766ED8">
        <w:rPr>
          <w:rFonts w:ascii="Courier New" w:hAnsi="Courier New" w:cs="Courier New"/>
        </w:rPr>
        <w:t xml:space="preserve"> </w:t>
      </w:r>
      <w:r w:rsidR="000013D7" w:rsidRPr="000013D7">
        <w:rPr>
          <w:rFonts w:ascii="Courier New" w:hAnsi="Courier New" w:cs="Courier New"/>
        </w:rPr>
        <w:t>'type',</w:t>
      </w:r>
      <w:r w:rsidR="00766ED8">
        <w:rPr>
          <w:rFonts w:ascii="Courier New" w:hAnsi="Courier New" w:cs="Courier New"/>
        </w:rPr>
        <w:t xml:space="preserve"> </w:t>
      </w:r>
      <w:r w:rsidR="000013D7" w:rsidRPr="000013D7">
        <w:rPr>
          <w:rFonts w:ascii="Courier New" w:hAnsi="Courier New" w:cs="Courier New"/>
        </w:rPr>
        <w:t>'</w:t>
      </w:r>
      <w:proofErr w:type="spellStart"/>
      <w:r w:rsidR="000013D7">
        <w:rPr>
          <w:rFonts w:ascii="Courier New" w:hAnsi="Courier New" w:cs="Courier New"/>
        </w:rPr>
        <w:t>deseq</w:t>
      </w:r>
      <w:proofErr w:type="spellEnd"/>
      <w:r w:rsidR="000013D7" w:rsidRPr="000013D7">
        <w:rPr>
          <w:rFonts w:ascii="Courier New" w:hAnsi="Courier New" w:cs="Courier New"/>
        </w:rPr>
        <w:t>')</w:t>
      </w:r>
      <w:r w:rsidR="000013D7">
        <w:t xml:space="preserve">, respectively. The </w:t>
      </w:r>
      <w:proofErr w:type="spellStart"/>
      <w:r w:rsidR="000013D7" w:rsidRPr="000013D7">
        <w:t>functionSignatures.json</w:t>
      </w:r>
      <w:proofErr w:type="spellEnd"/>
      <w:r w:rsidR="000013D7">
        <w:t xml:space="preserve"> file has been edited to specify the function usage. </w:t>
      </w:r>
      <w:r w:rsidR="00AA3F39">
        <w:t xml:space="preserve">The main GUI application in </w:t>
      </w:r>
      <w:proofErr w:type="spellStart"/>
      <w:r w:rsidR="00AA3F39">
        <w:t>scGEAToolbox</w:t>
      </w:r>
      <w:proofErr w:type="spellEnd"/>
      <w:r w:rsidR="00AA3F39">
        <w:t xml:space="preserve"> </w:t>
      </w:r>
      <w:r w:rsidR="000013D7">
        <w:t xml:space="preserve">is </w:t>
      </w:r>
      <w:proofErr w:type="spellStart"/>
      <w:r w:rsidR="00AA3F39">
        <w:t>scGEApp</w:t>
      </w:r>
      <w:proofErr w:type="spellEnd"/>
      <w:r w:rsidR="00AA3F39">
        <w:t xml:space="preserve">, </w:t>
      </w:r>
      <w:r w:rsidR="000013D7">
        <w:t xml:space="preserve">which is a </w:t>
      </w:r>
      <w:proofErr w:type="spellStart"/>
      <w:r w:rsidR="000013D7">
        <w:t>Matlab</w:t>
      </w:r>
      <w:proofErr w:type="spellEnd"/>
      <w:r w:rsidR="000013D7">
        <w:t xml:space="preserve"> App </w:t>
      </w:r>
      <w:r w:rsidR="00AA3F39">
        <w:t>with a</w:t>
      </w:r>
      <w:r>
        <w:t xml:space="preserve"> main panel </w:t>
      </w:r>
      <w:r w:rsidR="00AA3F39">
        <w:t>of</w:t>
      </w:r>
      <w:r>
        <w:t xml:space="preserve"> seven tabs, namely Load Data, Filter, Normalization, Batch Correction, Imputation, Feature Selection, and Visualization</w:t>
      </w:r>
      <w:r w:rsidR="00AA3F39">
        <w:t>. These tabs</w:t>
      </w:r>
      <w:r>
        <w:t xml:space="preserve"> </w:t>
      </w:r>
      <w:r w:rsidRPr="006E2E26">
        <w:rPr>
          <w:noProof/>
        </w:rPr>
        <w:t>are ordered</w:t>
      </w:r>
      <w:r>
        <w:t xml:space="preserve"> following </w:t>
      </w:r>
      <w:r w:rsidR="00AA3F39">
        <w:t>a general</w:t>
      </w:r>
      <w:r>
        <w:t xml:space="preserve"> workflow of </w:t>
      </w:r>
      <w:r w:rsidR="00AA3F39">
        <w:t xml:space="preserve">scRNA-seq data, i.e., </w:t>
      </w:r>
      <w:r>
        <w:t xml:space="preserve">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w:t>
      </w:r>
      <w:r w:rsidRPr="006E2E26">
        <w:rPr>
          <w:noProof/>
        </w:rPr>
        <w:t>scGEApp</w:t>
      </w:r>
      <w:r>
        <w:t xml:space="preserve"> can be accessed through the main GUI and are organized under each tab by their categories. For example, functions for selecting cells and genes by the number of mapped reads are under Filter; functions for normalization by using library size and by using the method of </w:t>
      </w:r>
      <w:proofErr w:type="spellStart"/>
      <w:r>
        <w:t>DESeq</w:t>
      </w:r>
      <w:proofErr w:type="spellEnd"/>
      <w:r>
        <w:t xml:space="preserve"> are under Normalization. The Feature Selection tab panel contains two functions</w:t>
      </w:r>
      <w:r w:rsidR="00AA3F39">
        <w:t xml:space="preserve"> for HVG selection</w:t>
      </w:r>
      <w:r>
        <w:t>: one</w:t>
      </w:r>
      <w:r w:rsidR="00350827">
        <w:t xml:space="preserve"> uses </w:t>
      </w:r>
      <w:r w:rsidR="00E46B56">
        <w:t>the method of</w:t>
      </w:r>
      <w:r w:rsidR="009C7C8F">
        <w:t xml:space="preserve"> </w:t>
      </w:r>
      <w:r w:rsidR="009C7C8F">
        <w:fldChar w:fldCharType="begin"/>
      </w:r>
      <w:r>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009C7C8F">
        <w:fldChar w:fldCharType="separate"/>
      </w:r>
      <w:r w:rsidR="009C7C8F">
        <w:rPr>
          <w:noProof/>
        </w:rPr>
        <w:t>(</w:t>
      </w:r>
      <w:r w:rsidR="009C7C8F" w:rsidRPr="003A01E2">
        <w:rPr>
          <w:noProof/>
        </w:rPr>
        <w:t>Brennecke,</w:t>
      </w:r>
      <w:r w:rsidR="009C7C8F">
        <w:rPr>
          <w:noProof/>
        </w:rPr>
        <w:t xml:space="preserve"> et al., 2013)</w:t>
      </w:r>
      <w:r w:rsidR="009C7C8F">
        <w:fldChar w:fldCharType="end"/>
      </w:r>
      <w:r w:rsidR="00350827">
        <w:t xml:space="preserve"> </w:t>
      </w:r>
      <w:r w:rsidR="00E46B56">
        <w:t xml:space="preserve">and </w:t>
      </w:r>
      <w:r w:rsidR="00350827">
        <w:t>the other uses</w:t>
      </w:r>
      <w:r w:rsidR="00AA3F39">
        <w:t xml:space="preserve"> the method of </w:t>
      </w:r>
      <w:r w:rsidR="00AA3F39">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AA3F39">
        <w:instrText xml:space="preserve"> ADDIN EN.CITE </w:instrText>
      </w:r>
      <w:r w:rsidR="00AA3F39">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AA3F39">
        <w:instrText xml:space="preserve"> ADDIN EN.CITE.DATA </w:instrText>
      </w:r>
      <w:r w:rsidR="00AA3F39">
        <w:fldChar w:fldCharType="end"/>
      </w:r>
      <w:r w:rsidR="00AA3F39">
        <w:fldChar w:fldCharType="separate"/>
      </w:r>
      <w:r w:rsidR="00AA3F39">
        <w:rPr>
          <w:noProof/>
        </w:rPr>
        <w:t>(Chen, et al., 2016)</w:t>
      </w:r>
      <w:r w:rsidR="00AA3F39">
        <w:fldChar w:fldCharType="end"/>
      </w:r>
      <w:r w:rsidR="00AA3F39">
        <w:t>.</w:t>
      </w:r>
    </w:p>
    <w:p w:rsidR="00D83B8A" w:rsidRDefault="00EF5D71" w:rsidP="001A0125">
      <w:pPr>
        <w:pStyle w:val="Heading1"/>
      </w:pPr>
      <w:r>
        <w:t>R</w:t>
      </w:r>
      <w:r w:rsidR="00D83B8A">
        <w:t>esults</w:t>
      </w:r>
    </w:p>
    <w:p w:rsidR="00A84152" w:rsidRDefault="00FA7B6C" w:rsidP="00106D70">
      <w:pPr>
        <w:pStyle w:val="para1"/>
      </w:pPr>
      <w:r>
        <w:t xml:space="preserve">We </w:t>
      </w:r>
      <w:r w:rsidR="00474832">
        <w:t xml:space="preserve">implemented </w:t>
      </w:r>
      <w:proofErr w:type="spellStart"/>
      <w:r w:rsidR="00474832">
        <w:t>Matlab</w:t>
      </w:r>
      <w:proofErr w:type="spellEnd"/>
      <w:r w:rsidR="00474832">
        <w:t xml:space="preserve"> functions for each category of analyses commonly required in scRNA-seq data processing. For example, </w:t>
      </w:r>
      <w:proofErr w:type="spellStart"/>
      <w:r w:rsidR="00474832" w:rsidRPr="00474832">
        <w:rPr>
          <w:rFonts w:ascii="Courier New" w:hAnsi="Courier New" w:cs="Courier New"/>
        </w:rPr>
        <w:t>sc_hvg</w:t>
      </w:r>
      <w:proofErr w:type="spellEnd"/>
      <w:r w:rsidR="00474832">
        <w:t xml:space="preserve"> and </w:t>
      </w:r>
      <w:proofErr w:type="spellStart"/>
      <w:r w:rsidR="00474832" w:rsidRPr="00474832">
        <w:rPr>
          <w:rFonts w:ascii="Courier New" w:hAnsi="Courier New" w:cs="Courier New"/>
        </w:rPr>
        <w:t>sc_veg</w:t>
      </w:r>
      <w:proofErr w:type="spellEnd"/>
      <w:r w:rsidR="00474832">
        <w:t xml:space="preserve"> implement methods of </w:t>
      </w:r>
      <w:r w:rsidR="00474832">
        <w:fldChar w:fldCharType="begin"/>
      </w:r>
      <w:r w:rsidR="00474832">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00474832">
        <w:fldChar w:fldCharType="separate"/>
      </w:r>
      <w:r w:rsidR="00474832">
        <w:rPr>
          <w:noProof/>
        </w:rPr>
        <w:t>(</w:t>
      </w:r>
      <w:r w:rsidR="00474832" w:rsidRPr="003A01E2">
        <w:rPr>
          <w:noProof/>
        </w:rPr>
        <w:t>Brennecke,</w:t>
      </w:r>
      <w:r w:rsidR="00474832">
        <w:rPr>
          <w:noProof/>
        </w:rPr>
        <w:t xml:space="preserve"> et al., 2013)</w:t>
      </w:r>
      <w:r w:rsidR="00474832">
        <w:fldChar w:fldCharType="end"/>
      </w:r>
      <w:r w:rsidR="00474832">
        <w:t xml:space="preserve"> and </w: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 </w:instrTex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EN.CITE.DATA </w:instrText>
      </w:r>
      <w:r w:rsidR="00474832">
        <w:fldChar w:fldCharType="end"/>
      </w:r>
      <w:r w:rsidR="00474832">
        <w:fldChar w:fldCharType="separate"/>
      </w:r>
      <w:r w:rsidR="00474832">
        <w:rPr>
          <w:noProof/>
        </w:rPr>
        <w:t>(Chen, et al., 2016)</w:t>
      </w:r>
      <w:r w:rsidR="00474832">
        <w:fldChar w:fldCharType="end"/>
      </w:r>
      <w:r w:rsidR="00474832">
        <w:t xml:space="preserve"> for HVG detection; </w:t>
      </w:r>
      <w:r w:rsidR="00474832" w:rsidRPr="00474832">
        <w:rPr>
          <w:rFonts w:ascii="Courier New" w:hAnsi="Courier New" w:cs="Courier New"/>
        </w:rPr>
        <w:t>sc_sc3</w:t>
      </w:r>
      <w:r w:rsidR="00474832">
        <w:t xml:space="preserve"> implements SC3 for cell clustering; </w:t>
      </w:r>
      <w:proofErr w:type="spellStart"/>
      <w:r w:rsidR="00474832" w:rsidRPr="00474832">
        <w:rPr>
          <w:rFonts w:ascii="Courier New" w:hAnsi="Courier New" w:cs="Courier New"/>
        </w:rPr>
        <w:t>sc_pcnet</w:t>
      </w:r>
      <w:proofErr w:type="spellEnd"/>
      <w:r w:rsidR="00474832">
        <w:t xml:space="preserve"> </w:t>
      </w:r>
      <w:proofErr w:type="spellStart"/>
      <w:r w:rsidR="00474832">
        <w:t>implments</w:t>
      </w:r>
      <w:proofErr w:type="spellEnd"/>
      <w:r w:rsidR="00474832">
        <w:t xml:space="preserve"> the </w:t>
      </w:r>
      <w:proofErr w:type="spellStart"/>
      <w:r w:rsidR="00474832">
        <w:t>pcNet</w:t>
      </w:r>
      <w:proofErr w:type="spellEnd"/>
      <w:r w:rsidR="00474832">
        <w:t xml:space="preserve"> method for network construction</w:t>
      </w:r>
      <w:r w:rsidR="00106D70">
        <w:t xml:space="preserve">; and </w:t>
      </w:r>
      <w:proofErr w:type="spellStart"/>
      <w:r w:rsidR="00106D70" w:rsidRPr="00106D70">
        <w:rPr>
          <w:rFonts w:ascii="Courier New" w:hAnsi="Courier New" w:cs="Courier New"/>
        </w:rPr>
        <w:t>sc_tscan</w:t>
      </w:r>
      <w:proofErr w:type="spellEnd"/>
      <w:r w:rsidR="00106D70">
        <w:t xml:space="preserve"> </w:t>
      </w:r>
      <w:proofErr w:type="spellStart"/>
      <w:r w:rsidR="00106D70">
        <w:t>implments</w:t>
      </w:r>
      <w:proofErr w:type="spellEnd"/>
      <w:r w:rsidR="00106D70">
        <w:t xml:space="preserve"> TSCAN for trajectory analysis </w:t>
      </w:r>
      <w:r w:rsidR="00474832">
        <w:t>.</w:t>
      </w:r>
      <w:r w:rsidR="00A84152">
        <w:t xml:space="preserve"> We developed functions that perform tasks commonly shared in many analytical tools. For example, </w:t>
      </w:r>
      <w:proofErr w:type="spellStart"/>
      <w:r w:rsidR="00A84152">
        <w:t>scGEAToolbox</w:t>
      </w:r>
      <w:proofErr w:type="spellEnd"/>
      <w:r w:rsidR="00A84152">
        <w:t xml:space="preserve"> contains a function that uses different methods to </w:t>
      </w:r>
      <w:r w:rsidR="00A84152" w:rsidRPr="00A84152">
        <w:t xml:space="preserve">compute </w:t>
      </w:r>
      <w:r w:rsidR="00A84152">
        <w:t xml:space="preserve">the </w:t>
      </w:r>
      <w:r w:rsidR="00A84152" w:rsidRPr="00A84152">
        <w:t>cell-to-cell similarity matrix</w:t>
      </w:r>
      <w:r w:rsidR="00A84152">
        <w:t xml:space="preserve"> and another function that different methods to estimate the number of clusters. We believe these “modular” functions can be utilized in the development of new algorithms. In </w:t>
      </w:r>
      <w:proofErr w:type="spellStart"/>
      <w:r w:rsidR="00A84152">
        <w:t>scGEAToolbox</w:t>
      </w:r>
      <w:proofErr w:type="spellEnd"/>
      <w:r w:rsidR="00A84152">
        <w:t xml:space="preserve">, </w:t>
      </w:r>
      <w:r w:rsidR="00474832">
        <w:t>a new function for visualization of gene</w:t>
      </w:r>
      <w:r w:rsidR="00A84152">
        <w:t>s’ summary statistics was introduced</w:t>
      </w:r>
      <w:r w:rsidR="00474832">
        <w:t xml:space="preserve">. </w:t>
      </w:r>
      <w:r w:rsidR="00A84152">
        <w:t>The</w:t>
      </w:r>
      <w:r w:rsidR="00474832">
        <w:t xml:space="preserve"> method </w:t>
      </w:r>
      <w:r w:rsidR="00474832" w:rsidRPr="003A01E2">
        <w:rPr>
          <w:noProof/>
        </w:rPr>
        <w:t>is based</w:t>
      </w:r>
      <w:r w:rsidR="00474832">
        <w:t xml:space="preserve"> on the 3D spline fit curve in a space defined by expression mean (µ), CV, and the dropout rate (</w:t>
      </w:r>
      <w:proofErr w:type="spellStart"/>
      <w:r w:rsidR="00474832" w:rsidRPr="003A01E2">
        <w:rPr>
          <w:noProof/>
        </w:rPr>
        <w:t>r</w:t>
      </w:r>
      <w:r w:rsidR="00474832" w:rsidRPr="003A01E2">
        <w:rPr>
          <w:noProof/>
          <w:vertAlign w:val="subscript"/>
        </w:rPr>
        <w:t>drop</w:t>
      </w:r>
      <w:proofErr w:type="spellEnd"/>
      <w:r w:rsidR="00474832">
        <w:t>) of genes.</w:t>
      </w:r>
      <w:r w:rsidR="00A84152">
        <w:t xml:space="preserve"> It can be applied to identify HDGs, i.e., genes with the cross-cell expression feature (involving µ, CV, and </w:t>
      </w:r>
      <w:r w:rsidR="00A84152" w:rsidRPr="003A01E2">
        <w:rPr>
          <w:noProof/>
        </w:rPr>
        <w:t>r</w:t>
      </w:r>
      <w:r w:rsidR="00A84152" w:rsidRPr="003A01E2">
        <w:rPr>
          <w:noProof/>
          <w:vertAlign w:val="subscript"/>
        </w:rPr>
        <w:t>drop</w:t>
      </w:r>
      <w:r w:rsidR="00A84152">
        <w:t xml:space="preserve">) deviated from the </w:t>
      </w:r>
      <w:r w:rsidR="00A84152" w:rsidRPr="001B11CE">
        <w:rPr>
          <w:noProof/>
        </w:rPr>
        <w:t>majority</w:t>
      </w:r>
      <w:r w:rsidR="00A84152">
        <w:t xml:space="preserve"> of other genes (Fig. 1, upper right). In addition to</w:t>
      </w:r>
      <w:r w:rsidR="00106D70">
        <w:t xml:space="preserve"> its own implementations,</w:t>
      </w:r>
      <w:r w:rsidR="00A84152">
        <w:t xml:space="preserve"> </w:t>
      </w:r>
      <w:proofErr w:type="spellStart"/>
      <w:r w:rsidR="00106D70">
        <w:t>scGEAToolbox</w:t>
      </w:r>
      <w:proofErr w:type="spellEnd"/>
      <w:r w:rsidR="00106D70">
        <w:t xml:space="preserve"> incorporates a plethora of existing analytical tools, namely Combat, HCP, MAGIC, </w:t>
      </w:r>
      <w:proofErr w:type="spellStart"/>
      <w:r w:rsidR="00106D70" w:rsidRPr="00106D70">
        <w:t>mc</w:t>
      </w:r>
      <w:r w:rsidR="00106D70">
        <w:t>I</w:t>
      </w:r>
      <w:r w:rsidR="00106D70" w:rsidRPr="00106D70">
        <w:t>mpute</w:t>
      </w:r>
      <w:proofErr w:type="spellEnd"/>
      <w:r w:rsidR="00106D70">
        <w:t xml:space="preserve">, </w:t>
      </w:r>
      <w:proofErr w:type="spellStart"/>
      <w:r w:rsidR="00106D70">
        <w:t>fitSNE</w:t>
      </w:r>
      <w:proofErr w:type="spellEnd"/>
      <w:r w:rsidR="00106D70">
        <w:t xml:space="preserve">, PHATE, UMAP, Gorilla, </w:t>
      </w:r>
      <w:proofErr w:type="spellStart"/>
      <w:r w:rsidR="00106D70">
        <w:t>Enrichr</w:t>
      </w:r>
      <w:proofErr w:type="spellEnd"/>
      <w:r w:rsidR="00106D70">
        <w:t xml:space="preserve">, GSEA </w:t>
      </w:r>
      <w:proofErr w:type="spellStart"/>
      <w:r w:rsidR="00106D70">
        <w:t>Preranked</w:t>
      </w:r>
      <w:proofErr w:type="spellEnd"/>
      <w:r w:rsidR="00106D70">
        <w:t xml:space="preserve">, GENIE3, </w:t>
      </w:r>
      <w:proofErr w:type="spellStart"/>
      <w:r w:rsidR="00106D70">
        <w:t>SCode</w:t>
      </w:r>
      <w:proofErr w:type="spellEnd"/>
      <w:r w:rsidR="00106D70">
        <w:t xml:space="preserve">, Monocle 2, </w:t>
      </w:r>
      <w:proofErr w:type="spellStart"/>
      <w:r w:rsidR="00106D70">
        <w:t>simlr</w:t>
      </w:r>
      <w:proofErr w:type="spellEnd"/>
      <w:r w:rsidR="00106D70">
        <w:t xml:space="preserve">, </w:t>
      </w:r>
      <w:proofErr w:type="spellStart"/>
      <w:r w:rsidR="00106D70">
        <w:t>SinNLRR</w:t>
      </w:r>
      <w:proofErr w:type="spellEnd"/>
      <w:r w:rsidR="00106D70">
        <w:t xml:space="preserve">, </w:t>
      </w:r>
      <w:proofErr w:type="spellStart"/>
      <w:r w:rsidR="00106D70">
        <w:t>soptsc</w:t>
      </w:r>
      <w:proofErr w:type="spellEnd"/>
      <w:r w:rsidR="00106D70">
        <w:t xml:space="preserve">, and so on. </w:t>
      </w:r>
    </w:p>
    <w:p w:rsidR="00AA3F39" w:rsidRDefault="008D2891" w:rsidP="00766ED8">
      <w:pPr>
        <w:pStyle w:val="para1"/>
        <w:ind w:firstLine="0"/>
      </w:pPr>
      <w:r>
        <w:t xml:space="preserve">A truncated data set derived from </w:t>
      </w:r>
      <w:r w:rsidR="00A03083" w:rsidRPr="00A03083">
        <w:t>GSM3204305</w:t>
      </w:r>
      <w:r w:rsidR="000B11FC">
        <w:t xml:space="preserve"> and</w:t>
      </w:r>
      <w:r w:rsidR="00A03083" w:rsidRPr="00A03083">
        <w:t xml:space="preserve"> GSM3204304</w:t>
      </w:r>
      <w:r w:rsidR="00A03083">
        <w:t xml:space="preserve"> </w:t>
      </w:r>
      <w:r>
        <w:t>is provided as example data i</w:t>
      </w:r>
      <w:r w:rsidR="00A03083">
        <w:t xml:space="preserve">n one of </w:t>
      </w:r>
      <w:r w:rsidR="005C1612">
        <w:t xml:space="preserve">the </w:t>
      </w:r>
      <w:r w:rsidR="00A03083">
        <w:t xml:space="preserve">subfolders of </w:t>
      </w:r>
      <w:proofErr w:type="spellStart"/>
      <w:r w:rsidR="00A03083">
        <w:t>scGEApp</w:t>
      </w:r>
      <w:proofErr w:type="spellEnd"/>
      <w:r w:rsidR="000B11FC">
        <w:t xml:space="preserve"> to allow users to identify g</w:t>
      </w:r>
      <w:r w:rsidR="00A03083">
        <w:t xml:space="preserve">enes </w:t>
      </w:r>
      <w:r w:rsidR="000B11FC">
        <w:t>play a role in tissue</w:t>
      </w:r>
      <w:r w:rsidR="00A03083">
        <w:t xml:space="preserve"> </w:t>
      </w:r>
      <w:r w:rsidR="000B11FC">
        <w:t>structural remolding</w:t>
      </w:r>
      <w:r w:rsidR="00A03083">
        <w:t xml:space="preserve"> in idiopathic pulmonary fibrosis lungs.</w:t>
      </w:r>
      <w:r w:rsidR="00AA3F39">
        <w:t xml:space="preserve">  </w:t>
      </w:r>
    </w:p>
    <w:p w:rsidR="00C93B0D" w:rsidRDefault="00C93B0D" w:rsidP="00A03083">
      <w:pPr>
        <w:pStyle w:val="para1"/>
        <w:ind w:firstLine="0"/>
      </w:pPr>
    </w:p>
    <w:p w:rsidR="00BA769D" w:rsidRDefault="00A03083" w:rsidP="001274D2">
      <w:pPr>
        <w:pStyle w:val="para-first"/>
      </w:pPr>
      <w:r>
        <w:t xml:space="preserve">In summary, </w:t>
      </w:r>
      <w:proofErr w:type="spellStart"/>
      <w:r>
        <w:t>scGEApp</w:t>
      </w:r>
      <w:proofErr w:type="spellEnd"/>
      <w:r>
        <w:t xml:space="preserve"> </w:t>
      </w:r>
      <w:r w:rsidR="001274D2">
        <w:t xml:space="preserve">is designed and developed to provide better data analysis support for </w:t>
      </w:r>
      <w:r>
        <w:t>scRNA-seq data. It makes two</w:t>
      </w:r>
      <w:r w:rsidR="001274D2">
        <w:t xml:space="preserve"> key contributions: </w:t>
      </w:r>
      <w:r w:rsidR="00E91FC8">
        <w:t xml:space="preserve">(1) introducing a non-parametric, 3D spline-based feature selection method, and (2) defining an easy-to-use GUI for </w:t>
      </w:r>
      <w:r w:rsidR="00E91FC8" w:rsidRPr="003A01E2">
        <w:rPr>
          <w:noProof/>
        </w:rPr>
        <w:t>a number of</w:t>
      </w:r>
      <w:r w:rsidR="00E91FC8">
        <w:t xml:space="preserve"> commonly used methods in scRNA-seq data analysis. We anticipate that these two key </w:t>
      </w:r>
      <w:r w:rsidR="00E91FC8">
        <w:t xml:space="preserve">features will make </w:t>
      </w:r>
      <w:proofErr w:type="spellStart"/>
      <w:r w:rsidR="00E91FC8">
        <w:t>sc</w:t>
      </w:r>
      <w:r w:rsidR="001274D2">
        <w:t>GEA</w:t>
      </w:r>
      <w:r w:rsidR="00E91FC8">
        <w:t>pp</w:t>
      </w:r>
      <w:proofErr w:type="spellEnd"/>
      <w:r w:rsidR="001274D2">
        <w:t xml:space="preserve"> a </w:t>
      </w:r>
      <w:r w:rsidR="00E91FC8">
        <w:t xml:space="preserve">useful tool </w:t>
      </w:r>
      <w:r w:rsidR="001274D2">
        <w:t xml:space="preserve">for researchers to conduct </w:t>
      </w:r>
      <w:r w:rsidR="00E91FC8">
        <w:t>feature selection</w:t>
      </w:r>
      <w:r w:rsidR="001274D2">
        <w:t xml:space="preserve"> analysis</w:t>
      </w:r>
      <w:r w:rsidR="00E91FC8">
        <w:t xml:space="preserve"> with scRNA-seq data </w:t>
      </w:r>
      <w:r w:rsidR="001274D2">
        <w:t>more effectively.</w:t>
      </w:r>
    </w:p>
    <w:p w:rsidR="000013D7" w:rsidRDefault="000013D7" w:rsidP="001274D2">
      <w:pPr>
        <w:pStyle w:val="para-first"/>
      </w:pPr>
      <w:r>
        <w:t xml:space="preserve">In the development of our feature selection method, we considered three summary statistics of scRNA-seq expression for each gene: mean, CV, and dropout rate. Mean </w:t>
      </w:r>
      <w:r w:rsidRPr="003A01E2">
        <w:rPr>
          <w:noProof/>
        </w:rPr>
        <w:t>and</w:t>
      </w:r>
      <w:r>
        <w:t xml:space="preserve"> CV </w:t>
      </w:r>
      <w:r w:rsidRPr="003A01E2">
        <w:rPr>
          <w:noProof/>
        </w:rPr>
        <w:t>are computed</w:t>
      </w:r>
      <w:r>
        <w:t xml:space="preserve"> across cells without removing zeros, and the dropout rate </w:t>
      </w:r>
      <w:r w:rsidRPr="003A01E2">
        <w:rPr>
          <w:noProof/>
        </w:rPr>
        <w:t>is computed</w:t>
      </w:r>
      <w:r>
        <w:t xml:space="preserve"> as the fraction of cells with zero expression for the given gene. Every gene </w:t>
      </w:r>
      <w:r w:rsidRPr="003A01E2">
        <w:rPr>
          <w:noProof/>
        </w:rPr>
        <w:t>is characterized</w:t>
      </w:r>
      <w:r>
        <w:t xml:space="preserve"> by these three variables and has its </w:t>
      </w:r>
      <w:r w:rsidRPr="003A01E2">
        <w:rPr>
          <w:noProof/>
        </w:rPr>
        <w:t>own</w:t>
      </w:r>
      <w:r>
        <w:t xml:space="preserve"> unique position in the 3D space defined by the three variables. We used real droplet-based scRNA-seq data (</w:t>
      </w:r>
      <w:proofErr w:type="spellStart"/>
      <w:r w:rsidRPr="00475585">
        <w:t>BioProject</w:t>
      </w:r>
      <w:proofErr w:type="spellEnd"/>
      <w:r>
        <w:t xml:space="preserve">: </w:t>
      </w:r>
      <w:r w:rsidRPr="00475585">
        <w:t>PRJNA508890</w:t>
      </w:r>
      <w:r>
        <w:t xml:space="preserve">) to show the distribution of genes in such a 3D space: data points (genes) form an ‘S’-shaped manifold (Fig. 1). To fit the curve, we used function </w:t>
      </w:r>
      <w:r w:rsidRPr="00475585">
        <w:t>SPLINEFIT</w:t>
      </w:r>
      <w:r>
        <w:t xml:space="preserve"> (</w:t>
      </w:r>
      <w:r w:rsidRPr="00475585">
        <w:t>by Jonas Lundgren</w:t>
      </w:r>
      <w:r>
        <w:t xml:space="preserve">). This function handles noisy data and removing unwanted oscillations in the spline curve from noisy data. We compute, </w:t>
      </w:r>
      <w:r w:rsidRPr="00C75D78">
        <w:rPr>
          <w:i/>
        </w:rPr>
        <w:t>d</w:t>
      </w:r>
      <w:r>
        <w:t xml:space="preserve">, the shortest distance from each data point to the spline curve, and use it as the feature of the gene. Genes with </w:t>
      </w:r>
      <w:r w:rsidRPr="001B11CE">
        <w:rPr>
          <w:noProof/>
        </w:rPr>
        <w:t>large</w:t>
      </w:r>
      <w:r>
        <w:t xml:space="preserve"> </w:t>
      </w:r>
      <w:r w:rsidRPr="00C75D78">
        <w:rPr>
          <w:i/>
        </w:rPr>
        <w:t>d</w:t>
      </w:r>
      <w:r>
        <w:t xml:space="preserve"> are called highly deviated genes (HDGs). The source code of </w:t>
      </w:r>
      <w:proofErr w:type="spellStart"/>
      <w:r>
        <w:t>scGEApp</w:t>
      </w:r>
      <w:proofErr w:type="spellEnd"/>
      <w:r>
        <w:t xml:space="preserve"> is provided free for academic use, </w:t>
      </w:r>
      <w:r w:rsidRPr="001B11CE">
        <w:rPr>
          <w:noProof/>
        </w:rPr>
        <w:t>and</w:t>
      </w:r>
      <w:r>
        <w:t xml:space="preserve"> stand-alone applications of </w:t>
      </w:r>
      <w:proofErr w:type="spellStart"/>
      <w:r>
        <w:t>scGEApp</w:t>
      </w:r>
      <w:proofErr w:type="spellEnd"/>
      <w:r>
        <w:t xml:space="preserve"> are provided for all major platforms with or without </w:t>
      </w:r>
      <w:proofErr w:type="spellStart"/>
      <w:r>
        <w:t>Matlab</w:t>
      </w:r>
      <w:proofErr w:type="spellEnd"/>
      <w:r>
        <w:t xml:space="preserve"> installed.</w:t>
      </w:r>
    </w:p>
    <w:p w:rsidR="00834F54" w:rsidRDefault="00834F54" w:rsidP="001274D2">
      <w:pPr>
        <w:pStyle w:val="para-first"/>
      </w:pPr>
    </w:p>
    <w:p w:rsidR="00834F54" w:rsidRDefault="00834F54" w:rsidP="00834F54">
      <w:pPr>
        <w:pStyle w:val="para1"/>
        <w:ind w:firstLine="0"/>
        <w:rPr>
          <w:noProof/>
        </w:rPr>
      </w:pPr>
      <w:r>
        <w:t xml:space="preserve">Applications of scRNA-seq include (1) identification of cell types in a sample and (2) characterization of variability across individual cells of the same cell type. The latter application has gained a growing attention because, within an ensemble of identical cells, cell-to-cell </w:t>
      </w:r>
      <w:r w:rsidRPr="003E32FE">
        <w:t>varia</w:t>
      </w:r>
      <w:r>
        <w:t>tion often indicates a diversity of hidden functional capacities tha</w:t>
      </w:r>
      <w:bookmarkStart w:id="0" w:name="_GoBack"/>
      <w:bookmarkEnd w:id="0"/>
      <w:r>
        <w:t xml:space="preserve">t facilitate collective behavior </w:t>
      </w:r>
      <w:r w:rsidRPr="000E6F97">
        <w:rPr>
          <w:noProof/>
        </w:rPr>
        <w:t xml:space="preserve">in </w:t>
      </w:r>
      <w:r w:rsidRPr="00D952EF">
        <w:rPr>
          <w:noProof/>
        </w:rPr>
        <w:t>tissue function and</w:t>
      </w:r>
      <w:r>
        <w:rPr>
          <w:noProof/>
        </w:rPr>
        <w:t xml:space="preserve"> normal</w:t>
      </w:r>
      <w:r w:rsidRPr="00D952EF">
        <w:rPr>
          <w:noProof/>
        </w:rPr>
        <w:t xml:space="preserve"> development</w:t>
      </w:r>
      <w:r>
        <w:rPr>
          <w:noProof/>
        </w:rPr>
        <w:t>,</w:t>
      </w:r>
      <w:r>
        <w:t xml:space="preserve"> and the change of this functional diversity may </w:t>
      </w:r>
      <w:r w:rsidRPr="006E2E26">
        <w:rPr>
          <w:noProof/>
        </w:rPr>
        <w:t>be associated</w:t>
      </w:r>
      <w:r>
        <w:t xml:space="preserve"> with disease</w:t>
      </w:r>
      <w:r w:rsidRPr="00D952EF">
        <w:rPr>
          <w:noProof/>
        </w:rPr>
        <w:t xml:space="preserve"> development</w:t>
      </w:r>
      <w:r>
        <w:rPr>
          <w:noProof/>
        </w:rPr>
        <w:t xml:space="preserve"> </w:t>
      </w:r>
      <w:r>
        <w:rPr>
          <w:noProof/>
        </w:rPr>
        <w:fldChar w:fldCharType="begin">
          <w:fldData xml:space="preserve">PEVuZE5vdGU+PENpdGU+PEF1dGhvcj5IYWdhaTwvQXV0aG9yPjxZZWFyPjIwMTg8L1llYXI+PFJl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</w:fldData>
        </w:fldChar>
      </w:r>
      <w:r>
        <w:rPr>
          <w:noProof/>
        </w:rPr>
        <w:instrText xml:space="preserve"> ADDIN EN.CITE </w:instrText>
      </w:r>
      <w:r>
        <w:rPr>
          <w:noProof/>
        </w:rPr>
        <w:fldChar w:fldCharType="begin">
          <w:fldData xml:space="preserve">PEVuZE5vdGU+PENpdGU+PEF1dGhvcj5IYWdhaTwvQXV0aG9yPjxZZWFyPjIwMTg8L1llYXI+PFJl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(Habiel, et al., 2018; Hagai, et al., 2018)</w:t>
      </w:r>
      <w:r>
        <w:rPr>
          <w:noProof/>
        </w:rPr>
        <w:fldChar w:fldCharType="end"/>
      </w:r>
      <w:r>
        <w:rPr>
          <w:noProof/>
        </w:rPr>
        <w:t xml:space="preserve">. Nevertheless, characterizing cell-to-cell variation in gene expression remains challenging because </w:t>
      </w:r>
      <w:r w:rsidRPr="006E2E26">
        <w:rPr>
          <w:noProof/>
        </w:rPr>
        <w:t>scRNA-seq data is often confounded by nuisance technical effects</w:t>
      </w:r>
      <w:r w:rsidRPr="00871973">
        <w:rPr>
          <w:noProof/>
        </w:rPr>
        <w:t>.</w:t>
      </w:r>
      <w:r>
        <w:rPr>
          <w:noProof/>
        </w:rPr>
        <w:t xml:space="preserve"> </w:t>
      </w:r>
    </w:p>
    <w:p w:rsidR="00834F54" w:rsidRDefault="00834F54" w:rsidP="00834F54">
      <w:pPr>
        <w:pStyle w:val="para1"/>
        <w:ind w:firstLine="0"/>
      </w:pPr>
      <w:r>
        <w:t>Feature selection is t</w:t>
      </w:r>
      <w:r w:rsidRPr="00E46B56">
        <w:t xml:space="preserve">he </w:t>
      </w:r>
      <w:r>
        <w:t xml:space="preserve">statistic </w:t>
      </w:r>
      <w:r w:rsidRPr="00E46B56">
        <w:t>process of selecting a subset of relevant features</w:t>
      </w:r>
      <w:r>
        <w:t>,</w:t>
      </w:r>
      <w:r w:rsidRPr="00E46B56">
        <w:t xml:space="preserve"> variables</w:t>
      </w:r>
      <w:r>
        <w:t>, or</w:t>
      </w:r>
      <w:r w:rsidRPr="00E46B56">
        <w:t xml:space="preserve"> predictors for use in model construction.</w:t>
      </w:r>
      <w:r>
        <w:t xml:space="preserve"> </w:t>
      </w:r>
    </w:p>
    <w:p w:rsidR="00834F54" w:rsidRDefault="00834F54" w:rsidP="00834F54">
      <w:pPr>
        <w:pStyle w:val="para1"/>
        <w:ind w:firstLine="0"/>
      </w:pPr>
      <w:r>
        <w:rPr>
          <w:color w:val="000000"/>
          <w:shd w:val="clear" w:color="auto" w:fill="FFFFFF"/>
        </w:rPr>
        <w:t>During the last two decades, feature selection techniques have become an active and fruitful research field in machine learning [</w:t>
      </w:r>
      <w:hyperlink r:id="rId12" w:anchor="bb0005" w:history="1">
        <w:r>
          <w:rPr>
            <w:rStyle w:val="Hyperlink"/>
            <w:color w:val="642A8F"/>
            <w:shd w:val="clear" w:color="auto" w:fill="FFFFFF"/>
          </w:rPr>
          <w:t>[1]</w:t>
        </w:r>
      </w:hyperlink>
      <w:r>
        <w:rPr>
          <w:color w:val="000000"/>
          <w:shd w:val="clear" w:color="auto" w:fill="FFFFFF"/>
        </w:rPr>
        <w:t>, </w:t>
      </w:r>
      <w:hyperlink r:id="rId13" w:anchor="bb0010" w:history="1">
        <w:r>
          <w:rPr>
            <w:rStyle w:val="Hyperlink"/>
            <w:color w:val="642A8F"/>
            <w:shd w:val="clear" w:color="auto" w:fill="FFFFFF"/>
          </w:rPr>
          <w:t>[2]</w:t>
        </w:r>
      </w:hyperlink>
      <w:r>
        <w:rPr>
          <w:color w:val="000000"/>
          <w:shd w:val="clear" w:color="auto" w:fill="FFFFFF"/>
        </w:rPr>
        <w:t>, </w:t>
      </w:r>
      <w:hyperlink r:id="rId14" w:anchor="bb0015" w:history="1">
        <w:r>
          <w:rPr>
            <w:rStyle w:val="Hyperlink"/>
            <w:color w:val="642A8F"/>
            <w:shd w:val="clear" w:color="auto" w:fill="FFFFFF"/>
          </w:rPr>
          <w:t>[3]</w:t>
        </w:r>
      </w:hyperlink>
      <w:r>
        <w:rPr>
          <w:color w:val="000000"/>
          <w:shd w:val="clear" w:color="auto" w:fill="FFFFFF"/>
        </w:rPr>
        <w:t>, </w:t>
      </w:r>
      <w:hyperlink r:id="rId15" w:anchor="bb0020" w:history="1">
        <w:r>
          <w:rPr>
            <w:rStyle w:val="Hyperlink"/>
            <w:color w:val="642A8F"/>
            <w:shd w:val="clear" w:color="auto" w:fill="FFFFFF"/>
          </w:rPr>
          <w:t>[4]</w:t>
        </w:r>
      </w:hyperlink>
      <w:r>
        <w:rPr>
          <w:color w:val="000000"/>
          <w:shd w:val="clear" w:color="auto" w:fill="FFFFFF"/>
        </w:rPr>
        <w:t>], pattern recognition [</w:t>
      </w:r>
      <w:hyperlink r:id="rId16" w:anchor="bb0025" w:history="1">
        <w:r>
          <w:rPr>
            <w:rStyle w:val="Hyperlink"/>
            <w:color w:val="642A8F"/>
            <w:shd w:val="clear" w:color="auto" w:fill="FFFFFF"/>
          </w:rPr>
          <w:t>5</w:t>
        </w:r>
      </w:hyperlink>
      <w:r>
        <w:rPr>
          <w:color w:val="000000"/>
          <w:shd w:val="clear" w:color="auto" w:fill="FFFFFF"/>
        </w:rPr>
        <w:t>,</w:t>
      </w:r>
      <w:hyperlink r:id="rId17" w:anchor="bb0030" w:history="1">
        <w:r>
          <w:rPr>
            <w:rStyle w:val="Hyperlink"/>
            <w:color w:val="642A8F"/>
            <w:shd w:val="clear" w:color="auto" w:fill="FFFFFF"/>
          </w:rPr>
          <w:t>6</w:t>
        </w:r>
      </w:hyperlink>
      <w:r>
        <w:rPr>
          <w:color w:val="000000"/>
          <w:shd w:val="clear" w:color="auto" w:fill="FFFFFF"/>
        </w:rPr>
        <w:t>], and bioinformatics [</w:t>
      </w:r>
      <w:hyperlink r:id="rId18" w:anchor="bb0035" w:history="1">
        <w:r>
          <w:rPr>
            <w:rStyle w:val="Hyperlink"/>
            <w:color w:val="642A8F"/>
            <w:shd w:val="clear" w:color="auto" w:fill="FFFFFF"/>
          </w:rPr>
          <w:t>[7]</w:t>
        </w:r>
      </w:hyperlink>
      <w:r>
        <w:rPr>
          <w:color w:val="000000"/>
          <w:shd w:val="clear" w:color="auto" w:fill="FFFFFF"/>
        </w:rPr>
        <w:t>, </w:t>
      </w:r>
      <w:hyperlink r:id="rId19" w:anchor="bb0040" w:history="1">
        <w:r>
          <w:rPr>
            <w:rStyle w:val="Hyperlink"/>
            <w:color w:val="642A8F"/>
            <w:shd w:val="clear" w:color="auto" w:fill="FFFFFF"/>
          </w:rPr>
          <w:t>[8]</w:t>
        </w:r>
      </w:hyperlink>
      <w:r>
        <w:rPr>
          <w:color w:val="000000"/>
          <w:shd w:val="clear" w:color="auto" w:fill="FFFFFF"/>
        </w:rPr>
        <w:t>, </w:t>
      </w:r>
      <w:hyperlink r:id="rId20" w:anchor="bb0045" w:history="1">
        <w:r>
          <w:rPr>
            <w:rStyle w:val="Hyperlink"/>
            <w:color w:val="642A8F"/>
            <w:shd w:val="clear" w:color="auto" w:fill="FFFFFF"/>
          </w:rPr>
          <w:t>[9]</w:t>
        </w:r>
      </w:hyperlink>
      <w:r>
        <w:rPr>
          <w:color w:val="000000"/>
          <w:shd w:val="clear" w:color="auto" w:fill="FFFFFF"/>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21" w:anchor="bb0050" w:history="1">
        <w:r>
          <w:rPr>
            <w:rStyle w:val="Hyperlink"/>
            <w:color w:val="642A8F"/>
            <w:shd w:val="clear" w:color="auto" w:fill="FFFFFF"/>
          </w:rPr>
          <w:t>10</w:t>
        </w:r>
      </w:hyperlink>
      <w:r>
        <w:rPr>
          <w:color w:val="000000"/>
          <w:shd w:val="clear" w:color="auto" w:fill="FFFFFF"/>
        </w:rPr>
        <w:t>]. </w:t>
      </w:r>
    </w:p>
    <w:p w:rsidR="00834F54" w:rsidRDefault="00834F54" w:rsidP="00834F54">
      <w:pPr>
        <w:pStyle w:val="para1"/>
        <w:ind w:firstLine="0"/>
      </w:pPr>
    </w:p>
    <w:p w:rsidR="00834F54" w:rsidRDefault="00834F54" w:rsidP="00834F54">
      <w:pPr>
        <w:pStyle w:val="para-first"/>
      </w:pPr>
      <w:r>
        <w:t xml:space="preserve">In the scRNA-seq analysis, feature selection can be used to control for nuisance factors of technical noise and select biologically meaningful genes, e.g., highly </w:t>
      </w:r>
      <w:r w:rsidRPr="00A41C31">
        <w:t>variable gene</w:t>
      </w:r>
      <w:r>
        <w:t>s (</w:t>
      </w:r>
      <w:r w:rsidRPr="006E2E26">
        <w:rPr>
          <w:noProof/>
        </w:rPr>
        <w:t>HVGs</w:t>
      </w:r>
      <w:r>
        <w:t xml:space="preserve">) that </w:t>
      </w:r>
      <w:r w:rsidRPr="00E51253">
        <w:t>driv</w:t>
      </w:r>
      <w:r>
        <w:t xml:space="preserve">e the </w:t>
      </w:r>
      <w:r w:rsidRPr="00E51253">
        <w:t xml:space="preserve">heterogeneity across </w:t>
      </w:r>
      <w:r>
        <w:t xml:space="preserve">cells in </w:t>
      </w:r>
      <w:r w:rsidRPr="00E51253">
        <w:t>a population</w:t>
      </w:r>
      <w:r>
        <w:t xml:space="preserve"> </w:t>
      </w:r>
      <w:r>
        <w:fldChar w:fldCharType="begin"/>
      </w:r>
      <w:r>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fldChar w:fldCharType="separate"/>
      </w:r>
      <w:r>
        <w:rPr>
          <w:noProof/>
        </w:rPr>
        <w:t>(</w:t>
      </w:r>
      <w:r w:rsidRPr="006E2E26">
        <w:rPr>
          <w:noProof/>
        </w:rPr>
        <w:t>Brennecke,</w:t>
      </w:r>
      <w:r>
        <w:rPr>
          <w:noProof/>
        </w:rPr>
        <w:t xml:space="preserve"> et al., 2013)</w:t>
      </w:r>
      <w:r>
        <w:fldChar w:fldCharType="end"/>
      </w:r>
      <w:r>
        <w:t xml:space="preserve">. Feature selection algorithm can be parametric or nonparametric. In parametric modeling, each data point is treated as a random variable, i.e.,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expression of gene </w:t>
      </w:r>
      <w:r w:rsidRPr="00B90763">
        <w:rPr>
          <w:i/>
        </w:rPr>
        <w:t>i</w:t>
      </w:r>
      <w:r>
        <w:t xml:space="preserve"> in cell </w:t>
      </w:r>
      <w:r w:rsidRPr="00B90763">
        <w:rPr>
          <w:i/>
        </w:rPr>
        <w:t>j</w:t>
      </w:r>
      <w:r>
        <w:t xml:space="preserve"> (for </w:t>
      </w:r>
      <m:oMath>
        <m:r>
          <w:rPr>
            <w:rFonts w:ascii="Cambria Math" w:hAnsi="Cambria Math"/>
          </w:rPr>
          <m:t xml:space="preserve">i=1,…, n </m:t>
        </m:r>
      </m:oMath>
      <w:r>
        <w:t xml:space="preserve">and </w:t>
      </w:r>
      <m:oMath>
        <m:r>
          <w:rPr>
            <w:rFonts w:ascii="Cambria Math" w:hAnsi="Cambria Math"/>
          </w:rPr>
          <m:t>j=1,…,m</m:t>
        </m:r>
      </m:oMath>
      <w:r>
        <w:t xml:space="preserve">), and fit a parametric statistical model to this variable. </w:t>
      </w:r>
      <w:r w:rsidRPr="006E2E26">
        <w:t>Once these models have been fit to the data, they can then be used for various downstream tasks such as normalization, imputation, and clustering.</w:t>
      </w:r>
      <w:r>
        <w:t xml:space="preserve"> On the other hand, in nonparametric settings, such probabilistic modeling is not explicitly employed. Although a number of parametric and nonparametric algorithms and tools have been developed for feature selection with scRNA-seq data, different methods </w:t>
      </w:r>
      <w:r>
        <w:lastRenderedPageBreak/>
        <w:t xml:space="preserve">capture different aspects of gene features. </w:t>
      </w:r>
      <w:r>
        <w:rPr>
          <w:b/>
          <w:bCs/>
          <w:noProof/>
          <w:lang w:eastAsia="zh-CN"/>
        </w:rPr>
        <mc:AlternateContent>
          <mc:Choice Requires="wps">
            <w:drawing>
              <wp:anchor distT="0" distB="0" distL="114300" distR="114300" simplePos="0" relativeHeight="251659776" behindDoc="0" locked="0" layoutInCell="1" allowOverlap="0" wp14:anchorId="3B28AFFE" wp14:editId="22F46A15">
                <wp:simplePos x="0" y="0"/>
                <wp:positionH relativeFrom="column">
                  <wp:posOffset>-635</wp:posOffset>
                </wp:positionH>
                <wp:positionV relativeFrom="margin">
                  <wp:posOffset>-22860</wp:posOffset>
                </wp:positionV>
                <wp:extent cx="2906395" cy="2304415"/>
                <wp:effectExtent l="0" t="0" r="27305" b="1968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30441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w:t>
                            </w:r>
                            <w:proofErr w:type="spellStart"/>
                            <w:r>
                              <w:rPr>
                                <w:b/>
                                <w:sz w:val="13"/>
                                <w:szCs w:val="13"/>
                              </w:rPr>
                              <w:t>scGEApp</w:t>
                            </w:r>
                            <w:proofErr w:type="spellEnd"/>
                            <w:r w:rsidR="00CC4E44">
                              <w:rPr>
                                <w:b/>
                                <w:sz w:val="13"/>
                                <w:szCs w:val="13"/>
                              </w:rPr>
                              <w:t>,</w:t>
                            </w:r>
                            <w:r w:rsidR="00AA3F39">
                              <w:rPr>
                                <w:b/>
                                <w:sz w:val="13"/>
                                <w:szCs w:val="13"/>
                              </w:rPr>
                              <w:t xml:space="preserve"> part of </w:t>
                            </w:r>
                            <w:proofErr w:type="spellStart"/>
                            <w:r w:rsidR="00AA3F39">
                              <w:rPr>
                                <w:b/>
                                <w:sz w:val="13"/>
                                <w:szCs w:val="13"/>
                              </w:rPr>
                              <w:t>scGEAToolbox</w:t>
                            </w:r>
                            <w:proofErr w:type="spellEnd"/>
                            <w:r w:rsidR="00AA3F39">
                              <w:rPr>
                                <w:b/>
                                <w:sz w:val="13"/>
                                <w:szCs w:val="13"/>
                              </w:rPr>
                              <w:t xml:space="preserve">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8AFFE" id="_x0000_t202" coordsize="21600,21600" o:spt="202" path="m,l,21600r21600,l21600,xe">
                <v:stroke joinstyle="miter"/>
                <v:path gradientshapeok="t" o:connecttype="rect"/>
              </v:shapetype>
              <v:shape id="Text Box 3" o:spid="_x0000_s1026" type="#_x0000_t202" style="position:absolute;left:0;text-align:left;margin-left:-.05pt;margin-top:-1.8pt;width:228.85pt;height:18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" o:allowoverlap="f" filled="f" strokeweight=".25pt">
                <v:textbox inset="0,0,0,0">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w:t>
                      </w:r>
                      <w:proofErr w:type="spellStart"/>
                      <w:r>
                        <w:rPr>
                          <w:b/>
                          <w:sz w:val="13"/>
                          <w:szCs w:val="13"/>
                        </w:rPr>
                        <w:t>scGEApp</w:t>
                      </w:r>
                      <w:proofErr w:type="spellEnd"/>
                      <w:r w:rsidR="00CC4E44">
                        <w:rPr>
                          <w:b/>
                          <w:sz w:val="13"/>
                          <w:szCs w:val="13"/>
                        </w:rPr>
                        <w:t>,</w:t>
                      </w:r>
                      <w:r w:rsidR="00AA3F39">
                        <w:rPr>
                          <w:b/>
                          <w:sz w:val="13"/>
                          <w:szCs w:val="13"/>
                        </w:rPr>
                        <w:t xml:space="preserve"> part of </w:t>
                      </w:r>
                      <w:proofErr w:type="spellStart"/>
                      <w:r w:rsidR="00AA3F39">
                        <w:rPr>
                          <w:b/>
                          <w:sz w:val="13"/>
                          <w:szCs w:val="13"/>
                        </w:rPr>
                        <w:t>scGEAToolbox</w:t>
                      </w:r>
                      <w:proofErr w:type="spellEnd"/>
                      <w:r w:rsidR="00AA3F39">
                        <w:rPr>
                          <w:b/>
                          <w:sz w:val="13"/>
                          <w:szCs w:val="13"/>
                        </w:rPr>
                        <w:t xml:space="preserve">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v:textbox>
                <w10:wrap type="topAndBottom" anchory="margin"/>
              </v:shape>
            </w:pict>
          </mc:Fallback>
        </mc:AlternateContent>
      </w:r>
      <w:r>
        <w:t xml:space="preserve">A comparative study of </w:t>
      </w:r>
      <w:r w:rsidRPr="00B209CA">
        <w:t>seven HVG analysis meth</w:t>
      </w:r>
      <w:r>
        <w:t>ods from six different packages showed that, even</w:t>
      </w:r>
      <w:r w:rsidRPr="00B209CA">
        <w:t xml:space="preserve"> </w:t>
      </w:r>
      <w:r>
        <w:t xml:space="preserve">with the same data set, </w:t>
      </w:r>
      <w:r w:rsidRPr="00B209CA">
        <w:t>different tools</w:t>
      </w:r>
      <w:r>
        <w:t xml:space="preserve"> produce</w:t>
      </w:r>
      <w:r w:rsidRPr="00B209CA">
        <w:t xml:space="preserve"> </w:t>
      </w:r>
      <w:r>
        <w:t xml:space="preserve">different </w:t>
      </w:r>
      <w:r w:rsidRPr="00B209CA">
        <w:t>resulting list</w:t>
      </w:r>
      <w:r>
        <w:t>s</w:t>
      </w:r>
      <w:r w:rsidRPr="00B209CA">
        <w:t xml:space="preserve"> of HVGs</w:t>
      </w:r>
      <w:r>
        <w:t xml:space="preserve"> </w:t>
      </w:r>
      <w:r>
        <w:fldChar w:fldCharType="begin"/>
      </w:r>
      <w:r>
        <w:instrText xml:space="preserve"> ADDIN EN.CITE &lt;EndNote&gt;&lt;Cite&gt;&lt;Author&gt;Yip&lt;/Author&gt;&lt;Year&gt;2018&lt;/Year&gt;&lt;RecNum&gt;6450&lt;/RecNum&gt;&lt;DisplayText&gt;(Yip, et al., 2018)&lt;/DisplayText&gt;&lt;record&gt;&lt;rec-number&gt;6450&lt;/rec-number&gt;&lt;foreign-keys&gt;&lt;key app="EN" db-id="d9pv9etr4pzxfmexf2jpt0xnd5ed50tvvd59" timestamp="1547756701"&gt;6450&lt;/key&gt;&lt;/foreign-keys&gt;&lt;ref-type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fldChar w:fldCharType="separate"/>
      </w:r>
      <w:r>
        <w:rPr>
          <w:noProof/>
        </w:rPr>
        <w:t>(Yip, et al., 2018)</w:t>
      </w:r>
      <w:r>
        <w:fldChar w:fldCharType="end"/>
      </w:r>
      <w:r>
        <w:t xml:space="preserve">. Given feature selection is an </w:t>
      </w:r>
      <w:r w:rsidRPr="00853ACD">
        <w:t>important step to identify genes contribute to cell heterogeneity</w:t>
      </w:r>
      <w:r>
        <w:t>, e</w:t>
      </w:r>
      <w:r w:rsidRPr="00853ACD">
        <w:t xml:space="preserve">ffective feature selection </w:t>
      </w:r>
      <w:r>
        <w:t>algorithms</w:t>
      </w:r>
      <w:r w:rsidRPr="00853ACD">
        <w:t xml:space="preserve"> and easy-to-use software tools are highly desired</w:t>
      </w:r>
    </w:p>
    <w:p w:rsidR="001A5509" w:rsidRDefault="00643190" w:rsidP="001A0125">
      <w:pPr>
        <w:pStyle w:val="AckHead"/>
      </w:pPr>
      <w:r w:rsidRPr="003A01E2">
        <w:rPr>
          <w:noProof/>
        </w:rPr>
        <w:t>A</w:t>
      </w:r>
      <w:r w:rsidR="001A5509" w:rsidRPr="003A01E2">
        <w:rPr>
          <w:noProof/>
        </w:rPr>
        <w:t>cknowledgements</w:t>
      </w:r>
    </w:p>
    <w:p w:rsidR="00D83B8A" w:rsidRPr="00366351" w:rsidRDefault="005C1612">
      <w:pPr>
        <w:pStyle w:val="AckText"/>
        <w:rPr>
          <w:sz w:val="14"/>
          <w:szCs w:val="14"/>
        </w:rPr>
      </w:pPr>
      <w:r>
        <w:rPr>
          <w:sz w:val="14"/>
          <w:szCs w:val="14"/>
        </w:rPr>
        <w:t>The a</w:t>
      </w:r>
      <w:r w:rsidR="00E91FC8">
        <w:rPr>
          <w:sz w:val="14"/>
          <w:szCs w:val="14"/>
        </w:rPr>
        <w:t xml:space="preserve">uthor thanks </w:t>
      </w:r>
      <w:r w:rsidR="001274D2">
        <w:rPr>
          <w:sz w:val="14"/>
          <w:szCs w:val="14"/>
        </w:rPr>
        <w:t>Jianhua Huang</w:t>
      </w:r>
      <w:r w:rsidR="00E91FC8">
        <w:rPr>
          <w:sz w:val="14"/>
          <w:szCs w:val="14"/>
        </w:rPr>
        <w:t xml:space="preserve">, Yan Zhong and </w:t>
      </w:r>
      <w:proofErr w:type="spellStart"/>
      <w:r w:rsidR="00E91FC8">
        <w:rPr>
          <w:sz w:val="14"/>
          <w:szCs w:val="14"/>
        </w:rPr>
        <w:t>Guanxiong</w:t>
      </w:r>
      <w:proofErr w:type="spellEnd"/>
      <w:r w:rsidR="00E91FC8">
        <w:rPr>
          <w:sz w:val="14"/>
          <w:szCs w:val="14"/>
        </w:rPr>
        <w:t xml:space="preserve"> Li for helpful discussion and inspiration during the development of this software tool</w:t>
      </w:r>
      <w:r w:rsidR="00D83B8A" w:rsidRPr="00366351">
        <w:rPr>
          <w:sz w:val="14"/>
          <w:szCs w:val="14"/>
        </w:rPr>
        <w:t>.</w:t>
      </w:r>
    </w:p>
    <w:p w:rsidR="00366351" w:rsidRPr="00366351" w:rsidRDefault="00CD55D8" w:rsidP="001A0125">
      <w:pPr>
        <w:pStyle w:val="RefHead"/>
        <w:rPr>
          <w:caps/>
        </w:rPr>
      </w:pPr>
      <w:r w:rsidRPr="00366351">
        <w:t>Funding</w:t>
      </w:r>
    </w:p>
    <w:p w:rsidR="005806E7"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has </w:t>
      </w:r>
      <w:r w:rsidRPr="003A01E2">
        <w:rPr>
          <w:rFonts w:ascii="AdvPSSAB-R" w:hAnsi="AdvPSSAB-R" w:cs="AdvPSSAB-R"/>
          <w:noProof/>
          <w:sz w:val="14"/>
          <w:szCs w:val="14"/>
          <w:lang w:val="en-GB" w:eastAsia="en-IN"/>
        </w:rPr>
        <w:t xml:space="preserve">been </w:t>
      </w:r>
      <w:r w:rsidR="005C1612" w:rsidRPr="003A01E2">
        <w:rPr>
          <w:rFonts w:ascii="AdvPSSAB-R" w:hAnsi="AdvPSSAB-R" w:cs="AdvPSSAB-R"/>
          <w:noProof/>
          <w:sz w:val="14"/>
          <w:szCs w:val="14"/>
          <w:lang w:val="en-GB" w:eastAsia="en-IN"/>
        </w:rPr>
        <w:t xml:space="preserve">partially </w:t>
      </w:r>
      <w:r w:rsidRPr="003A01E2">
        <w:rPr>
          <w:rFonts w:ascii="AdvPSSAB-R" w:hAnsi="AdvPSSAB-R" w:cs="AdvPSSAB-R"/>
          <w:noProof/>
          <w:sz w:val="14"/>
          <w:szCs w:val="14"/>
          <w:lang w:val="en-GB" w:eastAsia="en-IN"/>
        </w:rPr>
        <w:t>supported</w:t>
      </w:r>
      <w:r>
        <w:rPr>
          <w:rFonts w:ascii="AdvPSSAB-R" w:hAnsi="AdvPSSAB-R" w:cs="AdvPSSAB-R"/>
          <w:sz w:val="14"/>
          <w:szCs w:val="14"/>
          <w:lang w:val="en-GB" w:eastAsia="en-IN"/>
        </w:rPr>
        <w:t xml:space="preserve"> by </w:t>
      </w:r>
      <w:r w:rsidR="005C1612" w:rsidRPr="005C1612">
        <w:rPr>
          <w:rFonts w:ascii="AdvPSSAB-R" w:hAnsi="AdvPSSAB-R" w:cs="AdvPSSAB-R"/>
          <w:sz w:val="14"/>
          <w:szCs w:val="14"/>
          <w:lang w:val="en-GB" w:eastAsia="en-IN"/>
        </w:rPr>
        <w:t xml:space="preserve">the Texas A&amp;M </w:t>
      </w:r>
      <w:r w:rsidR="005C1612">
        <w:rPr>
          <w:rFonts w:ascii="AdvPSSAB-R" w:hAnsi="AdvPSSAB-R" w:cs="AdvPSSAB-R"/>
          <w:sz w:val="14"/>
          <w:szCs w:val="14"/>
          <w:lang w:val="en-GB" w:eastAsia="en-IN"/>
        </w:rPr>
        <w:t xml:space="preserve">University </w:t>
      </w:r>
      <w:r w:rsidR="005C1612" w:rsidRPr="005C1612">
        <w:rPr>
          <w:rFonts w:ascii="AdvPSSAB-R" w:hAnsi="AdvPSSAB-R" w:cs="AdvPSSAB-R"/>
          <w:sz w:val="14"/>
          <w:szCs w:val="14"/>
          <w:lang w:val="en-GB" w:eastAsia="en-IN"/>
        </w:rPr>
        <w:t>T3 grant and NIH grant</w:t>
      </w:r>
      <w:r w:rsidR="005C1612">
        <w:rPr>
          <w:rFonts w:ascii="AdvPSSAB-R" w:hAnsi="AdvPSSAB-R" w:cs="AdvPSSAB-R"/>
          <w:sz w:val="14"/>
          <w:szCs w:val="14"/>
          <w:lang w:val="en-GB" w:eastAsia="en-IN"/>
        </w:rPr>
        <w:t xml:space="preserve"> </w:t>
      </w:r>
      <w:r w:rsidR="005C1612" w:rsidRPr="005C1612">
        <w:rPr>
          <w:rFonts w:ascii="AdvPSSAB-R" w:hAnsi="AdvPSSAB-R" w:cs="AdvPSSAB-R"/>
          <w:sz w:val="14"/>
          <w:szCs w:val="14"/>
          <w:lang w:val="en-GB" w:eastAsia="en-IN"/>
        </w:rPr>
        <w:t>R21AI126219.</w:t>
      </w: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853ACD">
      <w:pPr>
        <w:pStyle w:val="RefHead"/>
        <w:spacing w:before="0"/>
      </w:pPr>
      <w:r w:rsidRPr="00366351">
        <w:t>References</w:t>
      </w:r>
    </w:p>
    <w:p w:rsidR="00A84152" w:rsidRPr="00A84152" w:rsidRDefault="00B209CA" w:rsidP="00A84152">
      <w:pPr>
        <w:pStyle w:val="EndNoteBibliography"/>
      </w:pPr>
      <w:r>
        <w:fldChar w:fldCharType="begin"/>
      </w:r>
      <w:r>
        <w:instrText xml:space="preserve"> ADDIN EN.REFLIST </w:instrText>
      </w:r>
      <w:r>
        <w:fldChar w:fldCharType="separate"/>
      </w:r>
      <w:r w:rsidR="00A84152" w:rsidRPr="00A84152">
        <w:t xml:space="preserve">Anders, S. and Huber, W. Differential expression analysis for sequence count data. </w:t>
      </w:r>
      <w:r w:rsidR="00A84152" w:rsidRPr="00A84152">
        <w:rPr>
          <w:i/>
        </w:rPr>
        <w:t>Genome Biol</w:t>
      </w:r>
      <w:r w:rsidR="00A84152" w:rsidRPr="00A84152">
        <w:t xml:space="preserve"> 2010;11(10):R106.</w:t>
      </w:r>
    </w:p>
    <w:p w:rsidR="00A84152" w:rsidRPr="00A84152" w:rsidRDefault="00A84152" w:rsidP="00A84152">
      <w:pPr>
        <w:pStyle w:val="EndNoteBibliography"/>
      </w:pPr>
      <w:r w:rsidRPr="00A84152">
        <w:t>Brennecke, P.</w:t>
      </w:r>
      <w:r w:rsidRPr="00A84152">
        <w:rPr>
          <w:i/>
        </w:rPr>
        <w:t>, et al.</w:t>
      </w:r>
      <w:r w:rsidRPr="00A84152">
        <w:t xml:space="preserve"> Accounting for technical noise in single-cell RNA-seq experiments. </w:t>
      </w:r>
      <w:r w:rsidRPr="00A84152">
        <w:rPr>
          <w:i/>
        </w:rPr>
        <w:t>Nat Methods</w:t>
      </w:r>
      <w:r w:rsidRPr="00A84152">
        <w:t xml:space="preserve"> 2013;10(11):1093-1095.</w:t>
      </w:r>
    </w:p>
    <w:p w:rsidR="00A84152" w:rsidRPr="00A84152" w:rsidRDefault="00A84152" w:rsidP="00A84152">
      <w:pPr>
        <w:pStyle w:val="EndNoteBibliography"/>
      </w:pPr>
      <w:r w:rsidRPr="00A84152">
        <w:t>Chen, H.I.</w:t>
      </w:r>
      <w:r w:rsidRPr="00A84152">
        <w:rPr>
          <w:i/>
        </w:rPr>
        <w:t>, et al.</w:t>
      </w:r>
      <w:r w:rsidRPr="00A84152">
        <w:t xml:space="preserve"> Detection of high variability in gene expression from single-cell RNA-seq profiling. </w:t>
      </w:r>
      <w:r w:rsidRPr="00A84152">
        <w:rPr>
          <w:i/>
        </w:rPr>
        <w:t>BMC Genomics</w:t>
      </w:r>
      <w:r w:rsidRPr="00A84152">
        <w:t xml:space="preserve"> 2016;17 Suppl 7:508.</w:t>
      </w:r>
    </w:p>
    <w:p w:rsidR="00A84152" w:rsidRPr="00A84152" w:rsidRDefault="00A84152" w:rsidP="00A84152">
      <w:pPr>
        <w:pStyle w:val="EndNoteBibliography"/>
      </w:pPr>
      <w:r w:rsidRPr="00A84152">
        <w:t>Habiel, D.M.</w:t>
      </w:r>
      <w:r w:rsidRPr="00A84152">
        <w:rPr>
          <w:i/>
        </w:rPr>
        <w:t>, et al.</w:t>
      </w:r>
      <w:r w:rsidRPr="00A84152">
        <w:t xml:space="preserve"> CCR10+ epithelial cells from idiopathic pulmonary fibrosis lungs drive remodeling. </w:t>
      </w:r>
      <w:r w:rsidRPr="00A84152">
        <w:rPr>
          <w:i/>
        </w:rPr>
        <w:t>JCI Insight</w:t>
      </w:r>
      <w:r w:rsidRPr="00A84152">
        <w:t xml:space="preserve"> 2018;3(16).</w:t>
      </w:r>
    </w:p>
    <w:p w:rsidR="00A84152" w:rsidRPr="00A84152" w:rsidRDefault="00A84152" w:rsidP="00A84152">
      <w:pPr>
        <w:pStyle w:val="EndNoteBibliography"/>
      </w:pPr>
      <w:r w:rsidRPr="00A84152">
        <w:t>Hagai, T.</w:t>
      </w:r>
      <w:r w:rsidRPr="00A84152">
        <w:rPr>
          <w:i/>
        </w:rPr>
        <w:t>, et al.</w:t>
      </w:r>
      <w:r w:rsidRPr="00A84152">
        <w:t xml:space="preserve"> Gene expression variability across cells and species shapes innate immunity. </w:t>
      </w:r>
      <w:r w:rsidRPr="00A84152">
        <w:rPr>
          <w:i/>
        </w:rPr>
        <w:t>Nature</w:t>
      </w:r>
      <w:r w:rsidRPr="00A84152">
        <w:t xml:space="preserve"> 2018;563(7730):197-202.</w:t>
      </w:r>
    </w:p>
    <w:p w:rsidR="00A84152" w:rsidRPr="00A84152" w:rsidRDefault="00A84152" w:rsidP="00A84152">
      <w:pPr>
        <w:pStyle w:val="EndNoteBibliography"/>
      </w:pPr>
      <w:r w:rsidRPr="00A84152">
        <w:t xml:space="preserve">Yip, S.H., Sham, P.C. and Wang, J. Evaluation of tools for highly variable gene discovery from single-cell RNA-seq data. </w:t>
      </w:r>
      <w:r w:rsidRPr="00A84152">
        <w:rPr>
          <w:i/>
        </w:rPr>
        <w:t>Brief Bioinform</w:t>
      </w:r>
      <w:r w:rsidRPr="00A84152">
        <w:t xml:space="preserve"> 2018.</w:t>
      </w:r>
    </w:p>
    <w:p w:rsidR="00A84152" w:rsidRPr="00A84152" w:rsidRDefault="00A84152" w:rsidP="00A84152">
      <w:pPr>
        <w:pStyle w:val="EndNoteBibliography"/>
      </w:pPr>
      <w:r w:rsidRPr="00A84152">
        <w:t>Zyla, J.</w:t>
      </w:r>
      <w:r w:rsidRPr="00A84152">
        <w:rPr>
          <w:i/>
        </w:rPr>
        <w:t>, et al.</w:t>
      </w:r>
      <w:r w:rsidRPr="00A84152">
        <w:t xml:space="preserve"> Ranking metrics in gene set enrichment analysis: do they matter? </w:t>
      </w:r>
      <w:r w:rsidRPr="00A84152">
        <w:rPr>
          <w:i/>
        </w:rPr>
        <w:t>BMC Bioinformatics</w:t>
      </w:r>
      <w:r w:rsidRPr="00A84152">
        <w:t xml:space="preserve"> 2017;18(1):256.</w:t>
      </w:r>
    </w:p>
    <w:p w:rsidR="0066776F" w:rsidRDefault="00B209CA" w:rsidP="00783825">
      <w:pPr>
        <w:pStyle w:val="EndNoteBibliography"/>
        <w:ind w:left="360" w:hanging="360"/>
      </w:pPr>
      <w:r>
        <w:fldChar w:fldCharType="end"/>
      </w: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EFD" w:rsidRDefault="003B3EFD">
      <w:r>
        <w:separator/>
      </w:r>
    </w:p>
  </w:endnote>
  <w:endnote w:type="continuationSeparator" w:id="0">
    <w:p w:rsidR="003B3EFD" w:rsidRDefault="003B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SAB-R">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EFD" w:rsidRDefault="003B3EFD">
      <w:pPr>
        <w:pStyle w:val="Footer"/>
        <w:tabs>
          <w:tab w:val="clear" w:pos="4320"/>
          <w:tab w:val="left" w:pos="4860"/>
        </w:tabs>
        <w:spacing w:line="200" w:lineRule="exact"/>
        <w:rPr>
          <w:u w:val="single" w:color="000000"/>
        </w:rPr>
      </w:pPr>
      <w:r>
        <w:rPr>
          <w:u w:val="single" w:color="000000"/>
        </w:rPr>
        <w:tab/>
      </w:r>
    </w:p>
  </w:footnote>
  <w:footnote w:type="continuationSeparator" w:id="0">
    <w:p w:rsidR="003B3EFD" w:rsidRDefault="003B3EFD">
      <w:pPr>
        <w:pStyle w:val="FootnoteText"/>
        <w:rPr>
          <w:szCs w:val="24"/>
        </w:rPr>
      </w:pPr>
      <w:r>
        <w:continuationSeparator/>
      </w:r>
    </w:p>
  </w:footnote>
  <w:footnote w:type="continuationNotice" w:id="1">
    <w:p w:rsidR="003B3EFD" w:rsidRDefault="003B3EFD">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F45DC5">
    <w:pPr>
      <w:pStyle w:val="Header"/>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J</w:t>
    </w:r>
    <w:r w:rsidR="001274D2">
      <w:t>.J.</w:t>
    </w:r>
    <w:r>
      <w:t>Cai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1Mzc2tjQwMDI3NTVS0lEKTi0uzszPAykwqwUANOVaMCwAAAA="/>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52pase0t0ef2e95sgpxzwrwfrzp2x9vv2p&quot;&gt;MyEndNoteLibrary_purecells&lt;record-ids&gt;&lt;item&gt;94&lt;/item&gt;&lt;item&gt;96&lt;/item&gt;&lt;item&gt;100&lt;/item&gt;&lt;item&gt;101&lt;/item&gt;&lt;item&gt;110&lt;/item&gt;&lt;item&gt;111&lt;/item&gt;&lt;/record-ids&gt;&lt;/item&gt;&lt;/Libraries&gt;"/>
  </w:docVars>
  <w:rsids>
    <w:rsidRoot w:val="00F45DC5"/>
    <w:rsid w:val="000013D7"/>
    <w:rsid w:val="0001213C"/>
    <w:rsid w:val="00050B51"/>
    <w:rsid w:val="00063765"/>
    <w:rsid w:val="00083970"/>
    <w:rsid w:val="00087A0F"/>
    <w:rsid w:val="000B11FC"/>
    <w:rsid w:val="000B5BB4"/>
    <w:rsid w:val="000D0D62"/>
    <w:rsid w:val="000E1954"/>
    <w:rsid w:val="000E7919"/>
    <w:rsid w:val="00106D70"/>
    <w:rsid w:val="00112539"/>
    <w:rsid w:val="00113DA5"/>
    <w:rsid w:val="001149FF"/>
    <w:rsid w:val="00120FBC"/>
    <w:rsid w:val="001274D2"/>
    <w:rsid w:val="00141A2A"/>
    <w:rsid w:val="00163472"/>
    <w:rsid w:val="001643C4"/>
    <w:rsid w:val="00164CC5"/>
    <w:rsid w:val="00165D8E"/>
    <w:rsid w:val="00175E68"/>
    <w:rsid w:val="00182B83"/>
    <w:rsid w:val="0019362B"/>
    <w:rsid w:val="001976C9"/>
    <w:rsid w:val="001A0125"/>
    <w:rsid w:val="001A5509"/>
    <w:rsid w:val="001B11CE"/>
    <w:rsid w:val="001C03BB"/>
    <w:rsid w:val="001C06FD"/>
    <w:rsid w:val="001C6AEE"/>
    <w:rsid w:val="001D69FC"/>
    <w:rsid w:val="002000FF"/>
    <w:rsid w:val="00203733"/>
    <w:rsid w:val="002557E8"/>
    <w:rsid w:val="00256855"/>
    <w:rsid w:val="002577E4"/>
    <w:rsid w:val="00274D6E"/>
    <w:rsid w:val="0028467B"/>
    <w:rsid w:val="00285955"/>
    <w:rsid w:val="002A2089"/>
    <w:rsid w:val="002A7209"/>
    <w:rsid w:val="002B2561"/>
    <w:rsid w:val="002B75A3"/>
    <w:rsid w:val="002B75B0"/>
    <w:rsid w:val="002C358E"/>
    <w:rsid w:val="002C783E"/>
    <w:rsid w:val="002D3B6B"/>
    <w:rsid w:val="002D5837"/>
    <w:rsid w:val="002D7AA3"/>
    <w:rsid w:val="002E76F5"/>
    <w:rsid w:val="002F4CA8"/>
    <w:rsid w:val="0030018D"/>
    <w:rsid w:val="00341B9C"/>
    <w:rsid w:val="0034204F"/>
    <w:rsid w:val="00342B0A"/>
    <w:rsid w:val="00344017"/>
    <w:rsid w:val="00347DE5"/>
    <w:rsid w:val="00350827"/>
    <w:rsid w:val="00350B70"/>
    <w:rsid w:val="00352804"/>
    <w:rsid w:val="003649B4"/>
    <w:rsid w:val="00366351"/>
    <w:rsid w:val="00370837"/>
    <w:rsid w:val="00386DA0"/>
    <w:rsid w:val="003A01E2"/>
    <w:rsid w:val="003A4127"/>
    <w:rsid w:val="003A4458"/>
    <w:rsid w:val="003A51CB"/>
    <w:rsid w:val="003B3D09"/>
    <w:rsid w:val="003B3EFD"/>
    <w:rsid w:val="003C6B50"/>
    <w:rsid w:val="003D1289"/>
    <w:rsid w:val="003D276F"/>
    <w:rsid w:val="003E32FE"/>
    <w:rsid w:val="003E5A0B"/>
    <w:rsid w:val="003F0E1C"/>
    <w:rsid w:val="003F5D2F"/>
    <w:rsid w:val="00400C63"/>
    <w:rsid w:val="00403998"/>
    <w:rsid w:val="00405022"/>
    <w:rsid w:val="00414AC0"/>
    <w:rsid w:val="00417E33"/>
    <w:rsid w:val="00435193"/>
    <w:rsid w:val="00452614"/>
    <w:rsid w:val="00454567"/>
    <w:rsid w:val="00473EDA"/>
    <w:rsid w:val="00474832"/>
    <w:rsid w:val="00475585"/>
    <w:rsid w:val="004768E7"/>
    <w:rsid w:val="00486E58"/>
    <w:rsid w:val="004B43B9"/>
    <w:rsid w:val="004B658F"/>
    <w:rsid w:val="004B7E93"/>
    <w:rsid w:val="004D7DA8"/>
    <w:rsid w:val="004D7F41"/>
    <w:rsid w:val="004E0596"/>
    <w:rsid w:val="004E1218"/>
    <w:rsid w:val="004E13A5"/>
    <w:rsid w:val="004E44AC"/>
    <w:rsid w:val="00513FFC"/>
    <w:rsid w:val="00527659"/>
    <w:rsid w:val="00544ED1"/>
    <w:rsid w:val="00547891"/>
    <w:rsid w:val="005806E7"/>
    <w:rsid w:val="00584A70"/>
    <w:rsid w:val="005C1612"/>
    <w:rsid w:val="005C3645"/>
    <w:rsid w:val="005E1F4A"/>
    <w:rsid w:val="005E41BA"/>
    <w:rsid w:val="005E5A37"/>
    <w:rsid w:val="005F299C"/>
    <w:rsid w:val="005F50A7"/>
    <w:rsid w:val="00607782"/>
    <w:rsid w:val="006103A9"/>
    <w:rsid w:val="006118F8"/>
    <w:rsid w:val="0062088F"/>
    <w:rsid w:val="00631190"/>
    <w:rsid w:val="006323EC"/>
    <w:rsid w:val="0063632A"/>
    <w:rsid w:val="00642473"/>
    <w:rsid w:val="00643190"/>
    <w:rsid w:val="006523D5"/>
    <w:rsid w:val="0066588F"/>
    <w:rsid w:val="0066776F"/>
    <w:rsid w:val="006921D5"/>
    <w:rsid w:val="006A235A"/>
    <w:rsid w:val="006A3271"/>
    <w:rsid w:val="006B6F75"/>
    <w:rsid w:val="006C2A33"/>
    <w:rsid w:val="006C2C0F"/>
    <w:rsid w:val="006D57D4"/>
    <w:rsid w:val="006E2E26"/>
    <w:rsid w:val="006F5A2E"/>
    <w:rsid w:val="0072388D"/>
    <w:rsid w:val="007466FD"/>
    <w:rsid w:val="00764FE0"/>
    <w:rsid w:val="00766ED8"/>
    <w:rsid w:val="00776B59"/>
    <w:rsid w:val="00783825"/>
    <w:rsid w:val="00784EA2"/>
    <w:rsid w:val="00790AD7"/>
    <w:rsid w:val="00793C1E"/>
    <w:rsid w:val="007A05AD"/>
    <w:rsid w:val="007C3E48"/>
    <w:rsid w:val="007D23F5"/>
    <w:rsid w:val="007F42D0"/>
    <w:rsid w:val="00801742"/>
    <w:rsid w:val="00806CED"/>
    <w:rsid w:val="00820FD1"/>
    <w:rsid w:val="008262A7"/>
    <w:rsid w:val="00834F54"/>
    <w:rsid w:val="00853ACD"/>
    <w:rsid w:val="00853D6D"/>
    <w:rsid w:val="00866860"/>
    <w:rsid w:val="00871973"/>
    <w:rsid w:val="00887143"/>
    <w:rsid w:val="008A06DC"/>
    <w:rsid w:val="008A13D5"/>
    <w:rsid w:val="008A1DB8"/>
    <w:rsid w:val="008A7380"/>
    <w:rsid w:val="008B5AAA"/>
    <w:rsid w:val="008D2891"/>
    <w:rsid w:val="008E5030"/>
    <w:rsid w:val="008E6E41"/>
    <w:rsid w:val="008F6836"/>
    <w:rsid w:val="00921960"/>
    <w:rsid w:val="00935C57"/>
    <w:rsid w:val="00941449"/>
    <w:rsid w:val="00943558"/>
    <w:rsid w:val="00952599"/>
    <w:rsid w:val="0095359B"/>
    <w:rsid w:val="0096186D"/>
    <w:rsid w:val="00977ABB"/>
    <w:rsid w:val="009A3330"/>
    <w:rsid w:val="009C7C8F"/>
    <w:rsid w:val="009D0B6E"/>
    <w:rsid w:val="009D1712"/>
    <w:rsid w:val="009F4495"/>
    <w:rsid w:val="009F681D"/>
    <w:rsid w:val="00A03083"/>
    <w:rsid w:val="00A1636C"/>
    <w:rsid w:val="00A226FD"/>
    <w:rsid w:val="00A2522A"/>
    <w:rsid w:val="00A31EEF"/>
    <w:rsid w:val="00A407FF"/>
    <w:rsid w:val="00A41C31"/>
    <w:rsid w:val="00A53661"/>
    <w:rsid w:val="00A5432A"/>
    <w:rsid w:val="00A55800"/>
    <w:rsid w:val="00A663DF"/>
    <w:rsid w:val="00A7074F"/>
    <w:rsid w:val="00A76CB0"/>
    <w:rsid w:val="00A818B3"/>
    <w:rsid w:val="00A84152"/>
    <w:rsid w:val="00AA08A1"/>
    <w:rsid w:val="00AA3F39"/>
    <w:rsid w:val="00AB08E4"/>
    <w:rsid w:val="00B12C6D"/>
    <w:rsid w:val="00B15469"/>
    <w:rsid w:val="00B209CA"/>
    <w:rsid w:val="00B539DD"/>
    <w:rsid w:val="00B637BC"/>
    <w:rsid w:val="00B652DF"/>
    <w:rsid w:val="00B7282B"/>
    <w:rsid w:val="00B804FA"/>
    <w:rsid w:val="00B90763"/>
    <w:rsid w:val="00B972B2"/>
    <w:rsid w:val="00BA769D"/>
    <w:rsid w:val="00BB6B87"/>
    <w:rsid w:val="00BE5EE2"/>
    <w:rsid w:val="00C02AF3"/>
    <w:rsid w:val="00C219FC"/>
    <w:rsid w:val="00C4341F"/>
    <w:rsid w:val="00C46F86"/>
    <w:rsid w:val="00C50397"/>
    <w:rsid w:val="00C75D78"/>
    <w:rsid w:val="00C801AB"/>
    <w:rsid w:val="00C8659B"/>
    <w:rsid w:val="00C93B0D"/>
    <w:rsid w:val="00CA265C"/>
    <w:rsid w:val="00CB6428"/>
    <w:rsid w:val="00CC4E44"/>
    <w:rsid w:val="00CC57E8"/>
    <w:rsid w:val="00CC64E3"/>
    <w:rsid w:val="00CD1016"/>
    <w:rsid w:val="00CD1067"/>
    <w:rsid w:val="00CD55D8"/>
    <w:rsid w:val="00CD5E42"/>
    <w:rsid w:val="00CF605A"/>
    <w:rsid w:val="00D018A2"/>
    <w:rsid w:val="00D23473"/>
    <w:rsid w:val="00D65C51"/>
    <w:rsid w:val="00D83B8A"/>
    <w:rsid w:val="00DA425B"/>
    <w:rsid w:val="00DA4EDF"/>
    <w:rsid w:val="00DA7E18"/>
    <w:rsid w:val="00DB5F27"/>
    <w:rsid w:val="00DC2DCC"/>
    <w:rsid w:val="00DC5078"/>
    <w:rsid w:val="00DC5EDA"/>
    <w:rsid w:val="00DD38F7"/>
    <w:rsid w:val="00E23415"/>
    <w:rsid w:val="00E30A62"/>
    <w:rsid w:val="00E355EE"/>
    <w:rsid w:val="00E46B56"/>
    <w:rsid w:val="00E47C25"/>
    <w:rsid w:val="00E51253"/>
    <w:rsid w:val="00E678E8"/>
    <w:rsid w:val="00E91FC8"/>
    <w:rsid w:val="00E94995"/>
    <w:rsid w:val="00EC5ED4"/>
    <w:rsid w:val="00ED352A"/>
    <w:rsid w:val="00EE1FE6"/>
    <w:rsid w:val="00EF5D71"/>
    <w:rsid w:val="00F137B5"/>
    <w:rsid w:val="00F14B10"/>
    <w:rsid w:val="00F17E0D"/>
    <w:rsid w:val="00F362A7"/>
    <w:rsid w:val="00F45DC5"/>
    <w:rsid w:val="00F4766C"/>
    <w:rsid w:val="00F521F8"/>
    <w:rsid w:val="00F73DD1"/>
    <w:rsid w:val="00F74650"/>
    <w:rsid w:val="00FA7B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EE536"/>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 w:type="paragraph" w:customStyle="1" w:styleId="EndNoteBibliographyTitle">
    <w:name w:val="EndNote Bibliography Title"/>
    <w:basedOn w:val="Normal"/>
    <w:link w:val="EndNoteBibliographyTitleChar"/>
    <w:rsid w:val="00B209CA"/>
    <w:pPr>
      <w:jc w:val="center"/>
    </w:pPr>
    <w:rPr>
      <w:rFonts w:ascii="Times New Roman" w:hAnsi="Times New Roman"/>
      <w:noProof/>
      <w:sz w:val="14"/>
    </w:rPr>
  </w:style>
  <w:style w:type="character" w:customStyle="1" w:styleId="EndNoteBibliographyTitleChar">
    <w:name w:val="EndNote Bibliography Title Char"/>
    <w:basedOn w:val="paraChar0"/>
    <w:link w:val="EndNoteBibliographyTitle"/>
    <w:rsid w:val="00B209CA"/>
    <w:rPr>
      <w:noProof/>
      <w:sz w:val="14"/>
      <w:szCs w:val="24"/>
      <w:lang w:val="en-US" w:eastAsia="en-US"/>
    </w:rPr>
  </w:style>
  <w:style w:type="paragraph" w:customStyle="1" w:styleId="EndNoteBibliography">
    <w:name w:val="EndNote Bibliography"/>
    <w:basedOn w:val="Normal"/>
    <w:link w:val="EndNoteBibliographyChar"/>
    <w:rsid w:val="00B209CA"/>
    <w:pPr>
      <w:jc w:val="both"/>
    </w:pPr>
    <w:rPr>
      <w:rFonts w:ascii="Times New Roman" w:hAnsi="Times New Roman"/>
      <w:noProof/>
      <w:sz w:val="14"/>
    </w:rPr>
  </w:style>
  <w:style w:type="character" w:customStyle="1" w:styleId="EndNoteBibliographyChar">
    <w:name w:val="EndNote Bibliography Char"/>
    <w:basedOn w:val="paraChar0"/>
    <w:link w:val="EndNoteBibliography"/>
    <w:rsid w:val="00B209CA"/>
    <w:rPr>
      <w:noProof/>
      <w:sz w:val="14"/>
      <w:szCs w:val="24"/>
      <w:lang w:val="en-US" w:eastAsia="en-US"/>
    </w:rPr>
  </w:style>
  <w:style w:type="character" w:styleId="PlaceholderText">
    <w:name w:val="Placeholder Text"/>
    <w:basedOn w:val="DefaultParagraphFont"/>
    <w:uiPriority w:val="99"/>
    <w:semiHidden/>
    <w:rsid w:val="00B90763"/>
    <w:rPr>
      <w:color w:val="808080"/>
    </w:rPr>
  </w:style>
  <w:style w:type="character" w:styleId="UnresolvedMention">
    <w:name w:val="Unresolved Mention"/>
    <w:basedOn w:val="DefaultParagraphFont"/>
    <w:uiPriority w:val="99"/>
    <w:semiHidden/>
    <w:unhideWhenUsed/>
    <w:rsid w:val="00F521F8"/>
    <w:rPr>
      <w:color w:val="605E5C"/>
      <w:shd w:val="clear" w:color="auto" w:fill="E1DFDD"/>
    </w:rPr>
  </w:style>
  <w:style w:type="character" w:styleId="FollowedHyperlink">
    <w:name w:val="FollowedHyperlink"/>
    <w:basedOn w:val="DefaultParagraphFont"/>
    <w:semiHidden/>
    <w:unhideWhenUsed/>
    <w:rsid w:val="00790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Toolbox"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3" Type="http://schemas.openxmlformats.org/officeDocument/2006/relationships/styles" Target="styles.xml"/><Relationship Id="rId21" Type="http://schemas.openxmlformats.org/officeDocument/2006/relationships/hyperlink" Target="https://www-ncbi-nlm-nih-gov.ezproxy.library.tamu.edu/pmc/articles/PMC6158772/" TargetMode="External"/><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s://www-ncbi-nlm-nih-gov.ezproxy.library.tamu.edu/pmc/articles/PMC61587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ncbi-nlm-nih-gov.ezproxy.library.tamu.edu/pmc/articles/PMC6158772/" TargetMode="External"/><Relationship Id="rId4" Type="http://schemas.openxmlformats.org/officeDocument/2006/relationships/settings" Target="settings.xml"/><Relationship Id="rId9" Type="http://schemas.openxmlformats.org/officeDocument/2006/relationships/hyperlink" Target="mailto:jcai@tamu.edu"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My_Code_Collection\oldfun\manuscrip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2FD19-A4E9-41D0-8DAC-0E81C46A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157</TotalTime>
  <Pages>1</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13</cp:revision>
  <cp:lastPrinted>2019-02-07T20:38:00Z</cp:lastPrinted>
  <dcterms:created xsi:type="dcterms:W3CDTF">2019-07-19T21:15:00Z</dcterms:created>
  <dcterms:modified xsi:type="dcterms:W3CDTF">2019-07-20T20:13:00Z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