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bookmarkStart w:id="0" w:name="_GoBack"/>
      <w:bookmarkEnd w:id="0"/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 xml:space="preserve">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 xml:space="preserve">; the high dimensionality is a characteristic </w:t>
      </w:r>
      <w:r w:rsidR="00165605" w:rsidRPr="00165605">
        <w:t>property</w:t>
      </w:r>
      <w:r w:rsidR="00165605">
        <w:t xml:space="preserve"> of scRNA-seq data. </w:t>
      </w:r>
      <w:r w:rsidR="00A52649">
        <w:t>T</w:t>
      </w:r>
      <w:r w:rsidR="00527659">
        <w:t>he data</w:t>
      </w:r>
      <w:r w:rsidR="00A52649">
        <w:t xml:space="preserve"> sets are also</w:t>
      </w:r>
      <w:r w:rsidR="00527659">
        <w:t xml:space="preserve">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</w:t>
      </w:r>
      <w:r w:rsidR="005504AD">
        <w:t xml:space="preserve">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other than </w:t>
      </w:r>
      <w:proofErr w:type="spellStart"/>
      <w:r w:rsidR="00607782">
        <w:t>Matlab</w:t>
      </w:r>
      <w:proofErr w:type="spellEnd"/>
      <w:r w:rsidR="00607782">
        <w:t xml:space="preserve">, </w:t>
      </w:r>
      <w:r w:rsidR="00D54073">
        <w:t xml:space="preserve">such as </w:t>
      </w:r>
      <w:r w:rsidR="00607782">
        <w:t>R and python.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</w:t>
      </w:r>
      <w:r w:rsidR="00D54073">
        <w:t>comes with</w:t>
      </w:r>
      <w:r w:rsidRPr="00607782">
        <w:t xml:space="preserve">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>. Nevertheless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Pr="00607782">
        <w:t>.</w:t>
      </w:r>
      <w:r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we believe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834F54" w:rsidP="000013D7">
      <w:pPr>
        <w:pStyle w:val="para1"/>
        <w:ind w:firstLine="0"/>
      </w:pPr>
      <w:r>
        <w:t xml:space="preserve">We developed </w:t>
      </w:r>
      <w:proofErr w:type="spellStart"/>
      <w:r>
        <w:t>scGEAToolbox</w:t>
      </w:r>
      <w:proofErr w:type="spellEnd"/>
      <w:r>
        <w:t xml:space="preserve"> using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Functions in </w:t>
      </w:r>
      <w:proofErr w:type="spellStart"/>
      <w:r>
        <w:t>scGEAToolbox</w:t>
      </w:r>
      <w:proofErr w:type="spellEnd"/>
      <w:r>
        <w:t xml:space="preserve"> </w:t>
      </w:r>
      <w:r w:rsidRPr="006E2E26">
        <w:rPr>
          <w:noProof/>
        </w:rPr>
        <w:t>are written</w:t>
      </w:r>
      <w:r>
        <w:t xml:space="preserve"> in native </w:t>
      </w:r>
      <w:proofErr w:type="spellStart"/>
      <w:r>
        <w:t>Matlab</w:t>
      </w:r>
      <w:proofErr w:type="spellEnd"/>
      <w:r w:rsidR="008058F0">
        <w:t>,</w:t>
      </w:r>
      <w:r>
        <w:t xml:space="preserve"> </w:t>
      </w:r>
      <w:r w:rsidRPr="006E2E26">
        <w:rPr>
          <w:noProof/>
        </w:rPr>
        <w:t>and</w:t>
      </w:r>
      <w:r>
        <w:t xml:space="preserve"> the app GUIs </w:t>
      </w:r>
      <w:r w:rsidRPr="006E2E26">
        <w:rPr>
          <w:noProof/>
        </w:rPr>
        <w:t>are created</w:t>
      </w:r>
      <w:r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</w:t>
      </w:r>
      <w:r w:rsidR="00B12C6D">
        <w:lastRenderedPageBreak/>
        <w:t xml:space="preserve">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</w:t>
      </w:r>
      <w:r w:rsidR="00B12A20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83673</wp:posOffset>
                </wp:positionH>
                <wp:positionV relativeFrom="margin">
                  <wp:posOffset>-75613</wp:posOffset>
                </wp:positionV>
                <wp:extent cx="2906395" cy="2304415"/>
                <wp:effectExtent l="0" t="0" r="27305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1" w:name="_Hlk14554358"/>
                            <w:bookmarkEnd w:id="1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CC4E44">
                              <w:rPr>
                                <w:b/>
                                <w:sz w:val="13"/>
                                <w:szCs w:val="13"/>
                              </w:rPr>
                              <w:t>,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6pt;margin-top:-5.95pt;width:228.85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EIeQIAAAAFAAAOAAAAZHJzL2Uyb0RvYy54bWysVF1vmzAUfZ+0/2D5PQUSm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2" w:name="_Hlk14554358"/>
                      <w:bookmarkEnd w:id="2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CC4E44">
                        <w:rPr>
                          <w:b/>
                          <w:sz w:val="13"/>
                          <w:szCs w:val="13"/>
                        </w:rPr>
                        <w:t>,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)</w:t>
      </w:r>
      <w:r w:rsidR="006F5C3C">
        <w:t xml:space="preserve">. It contains </w:t>
      </w:r>
      <w:r w:rsidR="00736B38">
        <w:t>a</w:t>
      </w:r>
      <w:r>
        <w:t xml:space="preserve"> main panel </w:t>
      </w:r>
      <w:r w:rsidR="006F5C3C">
        <w:t>with</w:t>
      </w:r>
      <w:r>
        <w:t xml:space="preserve"> seven tabs, namely </w:t>
      </w:r>
      <w:r w:rsidRPr="00466EE0">
        <w:rPr>
          <w:i/>
        </w:rPr>
        <w:t>Load Data</w:t>
      </w:r>
      <w:r>
        <w:t xml:space="preserve">, </w:t>
      </w:r>
      <w:r w:rsidRPr="00466EE0">
        <w:rPr>
          <w:i/>
        </w:rPr>
        <w:t>Filter</w:t>
      </w:r>
      <w:r>
        <w:t xml:space="preserve">, </w:t>
      </w:r>
      <w:r w:rsidRPr="00466EE0">
        <w:rPr>
          <w:i/>
        </w:rPr>
        <w:t>Normalization</w:t>
      </w:r>
      <w:r>
        <w:t xml:space="preserve">, </w:t>
      </w:r>
      <w:r w:rsidRPr="00466EE0">
        <w:rPr>
          <w:i/>
        </w:rPr>
        <w:t>Batch Correction</w:t>
      </w:r>
      <w:r>
        <w:t xml:space="preserve">, </w:t>
      </w:r>
      <w:r w:rsidRPr="00466EE0">
        <w:rPr>
          <w:i/>
        </w:rPr>
        <w:t>Imputation</w:t>
      </w:r>
      <w:r>
        <w:t xml:space="preserve">, </w:t>
      </w:r>
      <w:r w:rsidRPr="00466EE0">
        <w:rPr>
          <w:i/>
        </w:rPr>
        <w:t>Feature Selection</w:t>
      </w:r>
      <w:r>
        <w:t xml:space="preserve">, and </w:t>
      </w:r>
      <w:r w:rsidRPr="00466EE0">
        <w:rPr>
          <w:i/>
        </w:rPr>
        <w:t>Visualization</w:t>
      </w:r>
      <w:r w:rsidR="00AA3F39">
        <w:t>. These tabs</w:t>
      </w:r>
      <w:r>
        <w:t xml:space="preserve"> </w:t>
      </w:r>
      <w:r w:rsidRPr="006E2E26">
        <w:rPr>
          <w:noProof/>
        </w:rPr>
        <w:t>are ordered</w:t>
      </w:r>
      <w:r>
        <w:t xml:space="preserve">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>
        <w:t xml:space="preserve"> workflow of </w:t>
      </w:r>
      <w:r w:rsidR="00AA3F39">
        <w:t>scRNA-seq data</w:t>
      </w:r>
      <w:r>
        <w:t>. Moving between tabs can be done by clicking the tab or clicking ‘Next’ and ‘Back’ buttons on each tab panel.</w:t>
      </w:r>
      <w:r w:rsidR="00466EE0">
        <w:t xml:space="preserve"> Command-line functions can be executed and applied to the loaded data by clicking buttons under each tab.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>
        <w:t xml:space="preserve">Under the main panel is </w:t>
      </w:r>
      <w:r w:rsidR="00C101F3">
        <w:t>a</w:t>
      </w:r>
      <w:r>
        <w:t xml:space="preserve"> panel for viewing data matrices and result table</w:t>
      </w:r>
      <w:r w:rsidR="006F5C3C">
        <w:t>s</w:t>
      </w:r>
      <w:r w:rsidR="00C101F3">
        <w:t>, where d</w:t>
      </w:r>
      <w:r>
        <w:t>ata and results can be exported into the workspace as variables or saved into external files.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A50E4D" w:rsidRDefault="00C101F3" w:rsidP="00A50E4D">
      <w:pPr>
        <w:pStyle w:val="para1"/>
        <w:ind w:firstLine="0"/>
      </w:pPr>
      <w:r>
        <w:t xml:space="preserve">For each </w:t>
      </w:r>
      <w:r w:rsidR="00F67394">
        <w:t xml:space="preserve">of </w:t>
      </w:r>
      <w:r w:rsidR="009004BA">
        <w:t xml:space="preserve">the </w:t>
      </w:r>
      <w:r>
        <w:t>categor</w:t>
      </w:r>
      <w:r w:rsidR="00F67394">
        <w:t>ies</w:t>
      </w:r>
      <w:r>
        <w:t xml:space="preserve"> of scRNA-seq data analysis methods, </w:t>
      </w:r>
      <w:r w:rsidR="009004BA">
        <w:t>several</w:t>
      </w:r>
      <w:r>
        <w:t xml:space="preserve"> algorithms were </w:t>
      </w:r>
      <w:r w:rsidR="00F67394">
        <w:t xml:space="preserve">either </w:t>
      </w:r>
      <w:r>
        <w:t xml:space="preserve">implemented </w:t>
      </w:r>
      <w:r w:rsidR="00F67394">
        <w:t xml:space="preserve">in </w:t>
      </w:r>
      <w:proofErr w:type="spellStart"/>
      <w:r w:rsidR="00F67394">
        <w:t>Matlab</w:t>
      </w:r>
      <w:proofErr w:type="spellEnd"/>
      <w:r w:rsidR="00F67394">
        <w:t xml:space="preserve"> or incorporated through wrapper functions</w:t>
      </w:r>
      <w:r w:rsidR="009004BA">
        <w:t xml:space="preserve"> in </w:t>
      </w:r>
      <w:proofErr w:type="spellStart"/>
      <w:r w:rsidR="009004BA">
        <w:t>scGEAToolbox</w:t>
      </w:r>
      <w:proofErr w:type="spellEnd"/>
      <w:r w:rsidR="00474832">
        <w:t xml:space="preserve">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</w:t>
      </w:r>
      <w:r w:rsidR="00F67394">
        <w:t xml:space="preserve">contain </w:t>
      </w:r>
      <w:r w:rsidR="00474832">
        <w:t>implement</w:t>
      </w:r>
      <w:r w:rsidR="00F67394">
        <w:t>ations of</w:t>
      </w:r>
      <w:r w:rsidR="00474832">
        <w:t xml:space="preserve"> </w:t>
      </w:r>
      <w:r w:rsidR="00F67394">
        <w:t xml:space="preserve">two </w:t>
      </w:r>
      <w:r w:rsidR="00474832">
        <w:t xml:space="preserve">methods of </w:t>
      </w:r>
      <w:r w:rsidR="00F67394">
        <w:t xml:space="preserve">HVG detection: one is the method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</w:t>
      </w:r>
      <w:r w:rsidR="00F67394">
        <w:t xml:space="preserve"> the other is the method of</w:t>
      </w:r>
      <w:r w:rsidR="00474832">
        <w:t xml:space="preserve">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</w:t>
      </w:r>
      <w:r w:rsidR="00F67394">
        <w:t xml:space="preserve">contains 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 </w:instrTex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EN.CITE.DATA </w:instrText>
      </w:r>
      <w:r w:rsidR="007828A1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7828A1">
        <w:t xml:space="preserve"> </w:t>
      </w:r>
      <w:r w:rsidR="00474832">
        <w:t xml:space="preserve"> for </w:t>
      </w:r>
      <w:r w:rsidR="007828A1">
        <w:t xml:space="preserve">consensus </w:t>
      </w:r>
      <w:r w:rsidR="00474832">
        <w:t xml:space="preserve">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</w:t>
      </w:r>
      <w:r w:rsidR="007828A1">
        <w:t xml:space="preserve">contains 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7828A1">
        <w:fldChar w:fldCharType="begin"/>
      </w:r>
      <w:r w:rsidR="007828A1">
        <w:instrText xml:space="preserve"> ADDIN EN.CITE &lt;EndNote&gt;&lt;Cite&gt;&lt;Author&gt;Gill&lt;/Author&gt;&lt;Year&gt;2010&lt;/Year&gt;&lt;RecNum&gt;114&lt;/RecNum&gt;&lt;DisplayText&gt;(Gill, et al., 2010)&lt;/DisplayText&gt;&lt;record&gt;&lt;rec-number&gt;114&lt;/rec-number&gt;&lt;foreign-keys&gt;&lt;key app="EN" db-id="pe52pase0t0ef2e95sgpxzwrwfrzp2x9vv2p" timestamp="1563729043"&gt;114&lt;/key&gt;&lt;/foreign-keys&gt;&lt;ref-type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7828A1">
        <w:t xml:space="preserve"> for principal component network inference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 xml:space="preserve">ments TSCAN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7828A1">
        <w:t xml:space="preserve"> </w:t>
      </w:r>
      <w:r w:rsidR="00106D70">
        <w:t>for trajectory analysis</w:t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>In this case, w</w:t>
      </w:r>
      <w:r w:rsidR="00A84152">
        <w:t xml:space="preserve">e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A84152">
        <w:t xml:space="preserve">In </w:t>
      </w:r>
      <w:proofErr w:type="spellStart"/>
      <w:r w:rsidR="00A84152">
        <w:t>scGEAToolbox</w:t>
      </w:r>
      <w:proofErr w:type="spellEnd"/>
      <w:r w:rsidR="00A84152"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 w:rsidR="00A84152">
        <w:t xml:space="preserve">s’ summary statistics </w:t>
      </w:r>
      <w:r w:rsidR="00A84152">
        <w:t>was introduced</w:t>
      </w:r>
      <w:r w:rsidR="00474832">
        <w:t xml:space="preserve">. </w:t>
      </w:r>
      <w:r w:rsidR="00A84152"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>, 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 w:rsidR="00A84152">
        <w:t xml:space="preserve"> It can be applied to identify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 in</w:t>
      </w:r>
      <w:r w:rsidR="00A84152">
        <w:t xml:space="preserve"> µ, CV, and </w:t>
      </w:r>
      <w:r w:rsidR="00A84152" w:rsidRPr="003A01E2">
        <w:rPr>
          <w:noProof/>
        </w:rPr>
        <w:t>r</w:t>
      </w:r>
      <w:r w:rsidR="00A84152" w:rsidRPr="003A01E2">
        <w:rPr>
          <w:noProof/>
          <w:vertAlign w:val="subscript"/>
        </w:rPr>
        <w:t>drop</w:t>
      </w:r>
      <w:r w:rsidR="00A84152">
        <w:t xml:space="preserve"> 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A84152">
        <w:t>, upper right).</w:t>
      </w:r>
    </w:p>
    <w:p w:rsidR="00A50E4D" w:rsidRDefault="00A50E4D" w:rsidP="00A50E4D">
      <w:pPr>
        <w:pStyle w:val="para1"/>
        <w:ind w:firstLine="0"/>
      </w:pPr>
    </w:p>
    <w:p w:rsidR="00D14DA7" w:rsidRDefault="00D14DA7" w:rsidP="00A50E4D">
      <w:pPr>
        <w:pStyle w:val="para1"/>
        <w:ind w:firstLine="0"/>
      </w:pPr>
      <w:r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>
        <w:t xml:space="preserve"> Furthermore, </w:t>
      </w:r>
      <w:proofErr w:type="spellStart"/>
      <w:r>
        <w:t>scGEAToolbox</w:t>
      </w:r>
      <w:proofErr w:type="spellEnd"/>
      <w:r>
        <w:t xml:space="preserve"> also includes w</w:t>
      </w:r>
      <w:r w:rsidR="00B13068">
        <w:t xml:space="preserve">rapper functions for </w:t>
      </w:r>
      <w:r>
        <w:t xml:space="preserve">selected </w:t>
      </w:r>
      <w:r w:rsidR="0044108C">
        <w:t>R packages,</w:t>
      </w:r>
      <w:r w:rsidR="00682A0C">
        <w:t xml:space="preserve"> e.g.,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B13068">
        <w:t xml:space="preserve">, which facilitates the use of </w:t>
      </w:r>
      <w:r w:rsidR="00736B38">
        <w:t>diverse sources of functions</w:t>
      </w:r>
      <w:r w:rsidR="00B13068">
        <w:t xml:space="preserve"> and tools</w:t>
      </w:r>
      <w:r>
        <w:t xml:space="preserve"> developed in R</w:t>
      </w:r>
      <w:r w:rsidR="00736B38">
        <w:t>.</w:t>
      </w:r>
    </w:p>
    <w:p w:rsidR="00D14DA7" w:rsidRDefault="00D14DA7" w:rsidP="00A50E4D">
      <w:pPr>
        <w:pStyle w:val="para1"/>
        <w:ind w:firstLine="0"/>
      </w:pPr>
    </w:p>
    <w:p w:rsidR="00B12A20" w:rsidRDefault="00E83AAB" w:rsidP="00A50E4D">
      <w:pPr>
        <w:pStyle w:val="para1"/>
        <w:ind w:firstLine="0"/>
      </w:pPr>
      <w:r>
        <w:t>As m</w:t>
      </w:r>
      <w:r w:rsidR="006F5C3C">
        <w:t>any functions</w:t>
      </w:r>
      <w:r w:rsidR="00A50E4D"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>
        <w:t xml:space="preserve">the GUI </w:t>
      </w:r>
      <w:r w:rsidR="006F5C3C">
        <w:t xml:space="preserve">of </w:t>
      </w:r>
      <w:proofErr w:type="spellStart"/>
      <w:r w:rsidR="006F5C3C">
        <w:t>scGEApp</w:t>
      </w:r>
      <w:proofErr w:type="spellEnd"/>
      <w:r>
        <w:t xml:space="preserve"> without using the command line, </w:t>
      </w:r>
      <w:proofErr w:type="spellStart"/>
      <w:r>
        <w:t>scGEAToolbox</w:t>
      </w:r>
      <w:proofErr w:type="spellEnd"/>
      <w:r>
        <w:t xml:space="preserve"> is a </w:t>
      </w:r>
      <w:r w:rsidR="009004BA">
        <w:t>useful</w:t>
      </w:r>
      <w:r>
        <w:t xml:space="preserve"> training tool for beginners</w:t>
      </w:r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>
        <w:t xml:space="preserve"> </w:t>
      </w:r>
      <w:r w:rsidR="00736B38">
        <w:t>in</w:t>
      </w:r>
      <w:r w:rsidR="002579D6">
        <w:t xml:space="preserve"> a</w:t>
      </w:r>
      <w:r w:rsidR="00736B38">
        <w:t xml:space="preserve"> subfolder</w:t>
      </w:r>
      <w:r w:rsidR="009004BA">
        <w:t>; four demonstration script files are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We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D14DA7" w:rsidRPr="00D14DA7" w:rsidRDefault="00B209CA" w:rsidP="00D14D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4DA7" w:rsidRPr="00D14DA7">
        <w:t>Brennecke, P.</w:t>
      </w:r>
      <w:r w:rsidR="00D14DA7" w:rsidRPr="00D14DA7">
        <w:rPr>
          <w:i/>
        </w:rPr>
        <w:t>, et al.</w:t>
      </w:r>
      <w:r w:rsidR="00D14DA7" w:rsidRPr="00D14DA7">
        <w:t xml:space="preserve"> Accounting for technical noise in single-cell RNA-seq experiments. </w:t>
      </w:r>
      <w:r w:rsidR="00D14DA7" w:rsidRPr="00D14DA7">
        <w:rPr>
          <w:i/>
        </w:rPr>
        <w:t>Nat Methods</w:t>
      </w:r>
      <w:r w:rsidR="00D14DA7" w:rsidRPr="00D14DA7">
        <w:t xml:space="preserve"> 2013;10(11):1093-1095.</w:t>
      </w:r>
    </w:p>
    <w:p w:rsidR="00D14DA7" w:rsidRPr="00D14DA7" w:rsidRDefault="00D14DA7" w:rsidP="00D14DA7">
      <w:pPr>
        <w:pStyle w:val="EndNoteBibliography"/>
      </w:pPr>
      <w:r w:rsidRPr="00D14DA7">
        <w:t>Chen, H.I.</w:t>
      </w:r>
      <w:r w:rsidRPr="00D14DA7">
        <w:rPr>
          <w:i/>
        </w:rPr>
        <w:t>, et al.</w:t>
      </w:r>
      <w:r w:rsidRPr="00D14DA7">
        <w:t xml:space="preserve"> Detection of high variability in gene expression from single-cell RNA-seq profiling. </w:t>
      </w:r>
      <w:r w:rsidRPr="00D14DA7">
        <w:rPr>
          <w:i/>
        </w:rPr>
        <w:t>BMC Genomics</w:t>
      </w:r>
      <w:r w:rsidRPr="00D14DA7">
        <w:t xml:space="preserve"> 2016;17 Suppl 7:508.</w:t>
      </w:r>
    </w:p>
    <w:p w:rsidR="00D14DA7" w:rsidRPr="00D14DA7" w:rsidRDefault="00D14DA7" w:rsidP="00D14DA7">
      <w:pPr>
        <w:pStyle w:val="EndNoteBibliography"/>
      </w:pPr>
      <w:r w:rsidRPr="00D14DA7">
        <w:t xml:space="preserve">Gill, R., Datta, S. and Datta, S. A statistical framework for differential network analysis from microarray data. </w:t>
      </w:r>
      <w:r w:rsidRPr="00D14DA7">
        <w:rPr>
          <w:i/>
        </w:rPr>
        <w:t>BMC Bioinformatics</w:t>
      </w:r>
      <w:r w:rsidRPr="00D14DA7">
        <w:t xml:space="preserve"> 2010;11:95.</w:t>
      </w:r>
    </w:p>
    <w:p w:rsidR="00D14DA7" w:rsidRPr="00D14DA7" w:rsidRDefault="00D14DA7" w:rsidP="00D14DA7">
      <w:pPr>
        <w:pStyle w:val="EndNoteBibliography"/>
      </w:pPr>
      <w:r w:rsidRPr="00D14DA7">
        <w:t xml:space="preserve">Ji, Z. and Ji, H. TSCAN: Pseudo-time reconstruction and evaluation in single-cell RNA-seq analysis. </w:t>
      </w:r>
      <w:r w:rsidRPr="00D14DA7">
        <w:rPr>
          <w:i/>
        </w:rPr>
        <w:t>Nucleic Acids Res</w:t>
      </w:r>
      <w:r w:rsidRPr="00D14DA7">
        <w:t xml:space="preserve"> 2016;44(13):e117.</w:t>
      </w:r>
    </w:p>
    <w:p w:rsidR="00D14DA7" w:rsidRPr="00D14DA7" w:rsidRDefault="00D14DA7" w:rsidP="00D14DA7">
      <w:pPr>
        <w:pStyle w:val="EndNoteBibliography"/>
      </w:pPr>
      <w:r w:rsidRPr="00D14DA7">
        <w:t>Kiselev, V.Y.</w:t>
      </w:r>
      <w:r w:rsidRPr="00D14DA7">
        <w:rPr>
          <w:i/>
        </w:rPr>
        <w:t>, et al.</w:t>
      </w:r>
      <w:r w:rsidRPr="00D14DA7">
        <w:t xml:space="preserve"> SC3: consensus clustering of single-cell RNA-seq data. </w:t>
      </w:r>
      <w:r w:rsidRPr="00D14DA7">
        <w:rPr>
          <w:i/>
        </w:rPr>
        <w:t>Nat Methods</w:t>
      </w:r>
      <w:r w:rsidRPr="00D14DA7">
        <w:t xml:space="preserve"> 2017;14(5):483-486.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939" w:rsidRDefault="00491939">
      <w:r>
        <w:separator/>
      </w:r>
    </w:p>
  </w:endnote>
  <w:endnote w:type="continuationSeparator" w:id="0">
    <w:p w:rsidR="00491939" w:rsidRDefault="0049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939" w:rsidRDefault="00491939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491939" w:rsidRDefault="00491939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491939" w:rsidRDefault="00491939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wFANBasY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110&lt;/item&gt;&lt;item&gt;113&lt;/item&gt;&lt;item&gt;114&lt;/item&gt;&lt;item&gt;116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91939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504AD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F605A"/>
    <w:rsid w:val="00D018A2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91FC8"/>
    <w:rsid w:val="00E94995"/>
    <w:rsid w:val="00EC5ED4"/>
    <w:rsid w:val="00ED352A"/>
    <w:rsid w:val="00EE1FE6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33B1D-1B72-4944-9F34-AC135EAF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131</TotalTime>
  <Pages>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13</cp:revision>
  <cp:lastPrinted>2019-02-07T20:38:00Z</cp:lastPrinted>
  <dcterms:created xsi:type="dcterms:W3CDTF">2019-07-21T03:32:00Z</dcterms:created>
  <dcterms:modified xsi:type="dcterms:W3CDTF">2019-07-24T17:16:00Z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