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95A5A6"/>
          <w:sz w:val="20"/>
        </w:rPr>
        <w:t>CONFIDENTIAL</w:t>
      </w:r>
    </w:p>
    <w:p/>
    <w:p>
      <w:pPr>
        <w:jc w:val="center"/>
      </w:pPr>
      <w:r>
        <w:rPr>
          <w:rFonts w:ascii="Arial" w:hAnsi="Arial"/>
          <w:b/>
          <w:color w:val="1B4F72"/>
          <w:sz w:val="52"/>
        </w:rPr>
        <w:t>AI-Native Operating Model</w:t>
      </w:r>
    </w:p>
    <w:p>
      <w:pPr>
        <w:jc w:val="center"/>
      </w:pPr>
      <w:r>
        <w:rPr>
          <w:rFonts w:ascii="Arial" w:hAnsi="Arial"/>
          <w:color w:val="2E86C1"/>
          <w:sz w:val="36"/>
        </w:rPr>
        <w:t>Tabletop Exercise: Parallel Build Path</w:t>
      </w:r>
    </w:p>
    <w:p>
      <w:pPr>
        <w:jc w:val="center"/>
      </w:pPr>
      <w:r>
        <w:rPr>
          <w:rFonts w:ascii="Arial" w:hAnsi="Arial"/>
          <w:color w:val="5D6D7E"/>
          <w:sz w:val="28"/>
        </w:rPr>
        <w:t>Phase 1 Deliverables</w:t>
      </w:r>
    </w:p>
    <w:p>
      <w:pPr>
        <w:jc w:val="center"/>
        <w:pBdr>
          <w:bottom w:val="single" w:sz="12" w:space="1" w:color="2E86C1"/>
        </w:pBdr>
      </w:pPr>
    </w:p>
    <w:p/>
    <w:p/>
    <w:p/>
    <w:p>
      <w:pPr>
        <w:jc w:val="center"/>
      </w:pPr>
      <w:r>
        <w:rPr>
          <w:color w:val="7F8C8D"/>
          <w:sz w:val="22"/>
        </w:rPr>
        <w:t>Prepared for</w:t>
      </w:r>
    </w:p>
    <w:p>
      <w:pPr>
        <w:jc w:val="center"/>
      </w:pPr>
      <w:r>
        <w:rPr>
          <w:rFonts w:ascii="Arial" w:hAnsi="Arial"/>
          <w:b/>
          <w:color w:val="2C3E50"/>
          <w:sz w:val="32"/>
        </w:rPr>
        <w:t>Meridian Wealth Partners</w:t>
      </w:r>
    </w:p>
    <w:p>
      <w:pPr>
        <w:jc w:val="center"/>
      </w:pPr>
      <w:r>
        <w:rPr>
          <w:color w:val="5D6D7E"/>
          <w:sz w:val="22"/>
        </w:rPr>
        <w:t>Digital Advisory Division — Parallel Unit Initiative</w:t>
      </w:r>
    </w:p>
    <w:p/>
    <w:p/>
    <w:p>
      <w:pPr>
        <w:jc w:val="center"/>
      </w:pPr>
      <w:r>
        <w:rPr>
          <w:color w:val="7F8C8D"/>
          <w:sz w:val="22"/>
        </w:rPr>
        <w:t>April 2026</w:t>
      </w:r>
    </w:p>
    <w:p>
      <w:pPr>
        <w:jc w:val="center"/>
      </w:pPr>
      <w:r>
        <w:rPr>
          <w:b/>
          <w:color w:val="E74C3C"/>
          <w:sz w:val="18"/>
        </w:rPr>
        <w:t>SAMPLE OUTPUT — FICTITIOUS DATA</w:t>
      </w:r>
    </w:p>
    <w:p>
      <w:r>
        <w:br w:type="page"/>
      </w:r>
    </w:p>
    <w:p>
      <w:pPr>
        <w:pStyle w:val="Heading1"/>
      </w:pPr>
      <w:r>
        <w:t>Client Context Summary</w:t>
      </w:r>
    </w:p>
    <w:p>
      <w:pPr>
        <w:spacing w:after="160"/>
      </w:pPr>
      <w:r>
        <w:rPr>
          <w:rFonts w:ascii="Arial" w:hAnsi="Arial"/>
          <w:sz w:val="22"/>
        </w:rPr>
        <w:t>The following client profile was captured during the intake session and serves as the foundational input for all Phase 1 deliverables.</w:t>
      </w:r>
    </w:p>
    <w:tbl>
      <w:tblPr>
        <w:tblStyle w:val="TableGrid"/>
        <w:tblW w:type="auto" w:w="0"/>
        <w:jc w:val="center"/>
        <w:tblLook w:firstColumn="1" w:firstRow="1" w:lastColumn="0" w:lastRow="0" w:noHBand="0" w:noVBand="1" w:val="04A0"/>
      </w:tblPr>
      <w:tblGrid>
        <w:gridCol w:w="4680"/>
        <w:gridCol w:w="4680"/>
      </w:tblGrid>
      <w:tr>
        <w:tc>
          <w:tcPr>
            <w:tcW w:type="dxa" w:w="3168"/>
            <w:shd w:fill="1B4F72" w:val="clear"/>
          </w:tcPr>
          <w:p>
            <w:r/>
            <w:r>
              <w:rPr>
                <w:rFonts w:ascii="Arial" w:hAnsi="Arial"/>
                <w:b/>
                <w:color w:val="FFFFFF"/>
                <w:sz w:val="20"/>
              </w:rPr>
              <w:t>Parameter</w:t>
            </w:r>
          </w:p>
        </w:tc>
        <w:tc>
          <w:tcPr>
            <w:tcW w:type="dxa" w:w="6192"/>
            <w:shd w:fill="1B4F72" w:val="clear"/>
          </w:tcPr>
          <w:p>
            <w:r/>
            <w:r>
              <w:rPr>
                <w:rFonts w:ascii="Arial" w:hAnsi="Arial"/>
                <w:b/>
                <w:color w:val="FFFFFF"/>
                <w:sz w:val="20"/>
              </w:rPr>
              <w:t>Client Input</w:t>
            </w:r>
          </w:p>
        </w:tc>
      </w:tr>
      <w:tr>
        <w:tc>
          <w:tcPr>
            <w:tcW w:type="dxa" w:w="3168"/>
            <w:shd w:fill="F2F7FA" w:val="clear"/>
          </w:tcPr>
          <w:p>
            <w:r/>
            <w:r>
              <w:rPr>
                <w:rFonts w:ascii="Arial" w:hAnsi="Arial"/>
                <w:b/>
                <w:sz w:val="20"/>
              </w:rPr>
              <w:t>Organization</w:t>
            </w:r>
          </w:p>
        </w:tc>
        <w:tc>
          <w:tcPr>
            <w:tcW w:type="dxa" w:w="6192"/>
            <w:shd w:fill="F2F7FA" w:val="clear"/>
          </w:tcPr>
          <w:p>
            <w:r/>
            <w:r>
              <w:rPr>
                <w:rFonts w:ascii="Arial" w:hAnsi="Arial"/>
                <w:sz w:val="20"/>
              </w:rPr>
              <w:t>Meridian Wealth Partners</w:t>
            </w:r>
          </w:p>
        </w:tc>
      </w:tr>
      <w:tr>
        <w:tc>
          <w:tcPr>
            <w:tcW w:type="dxa" w:w="3168"/>
          </w:tcPr>
          <w:p>
            <w:r/>
            <w:r>
              <w:rPr>
                <w:rFonts w:ascii="Arial" w:hAnsi="Arial"/>
                <w:b/>
                <w:sz w:val="20"/>
              </w:rPr>
              <w:t>Industry</w:t>
            </w:r>
          </w:p>
        </w:tc>
        <w:tc>
          <w:tcPr>
            <w:tcW w:type="dxa" w:w="6192"/>
          </w:tcPr>
          <w:p>
            <w:r/>
            <w:r>
              <w:rPr>
                <w:rFonts w:ascii="Arial" w:hAnsi="Arial"/>
                <w:sz w:val="20"/>
              </w:rPr>
              <w:t>Financial Services — Wealth Management &amp; Advisory</w:t>
            </w:r>
          </w:p>
        </w:tc>
      </w:tr>
      <w:tr>
        <w:tc>
          <w:tcPr>
            <w:tcW w:type="dxa" w:w="3168"/>
            <w:shd w:fill="F2F7FA" w:val="clear"/>
          </w:tcPr>
          <w:p>
            <w:r/>
            <w:r>
              <w:rPr>
                <w:rFonts w:ascii="Arial" w:hAnsi="Arial"/>
                <w:b/>
                <w:sz w:val="20"/>
              </w:rPr>
              <w:t>Headcount</w:t>
            </w:r>
          </w:p>
        </w:tc>
        <w:tc>
          <w:tcPr>
            <w:tcW w:type="dxa" w:w="6192"/>
            <w:shd w:fill="F2F7FA" w:val="clear"/>
          </w:tcPr>
          <w:p>
            <w:r/>
            <w:r>
              <w:rPr>
                <w:rFonts w:ascii="Arial" w:hAnsi="Arial"/>
                <w:sz w:val="20"/>
              </w:rPr>
              <w:t>~2,800 employees across 15 offices (US)</w:t>
            </w:r>
          </w:p>
        </w:tc>
      </w:tr>
      <w:tr>
        <w:tc>
          <w:tcPr>
            <w:tcW w:type="dxa" w:w="3168"/>
          </w:tcPr>
          <w:p>
            <w:r/>
            <w:r>
              <w:rPr>
                <w:rFonts w:ascii="Arial" w:hAnsi="Arial"/>
                <w:b/>
                <w:sz w:val="20"/>
              </w:rPr>
              <w:t>Revenue</w:t>
            </w:r>
          </w:p>
        </w:tc>
        <w:tc>
          <w:tcPr>
            <w:tcW w:type="dxa" w:w="6192"/>
          </w:tcPr>
          <w:p>
            <w:r/>
            <w:r>
              <w:rPr>
                <w:rFonts w:ascii="Arial" w:hAnsi="Arial"/>
                <w:sz w:val="20"/>
              </w:rPr>
              <w:t>$1.4B annual revenue (FY2025)</w:t>
            </w:r>
          </w:p>
        </w:tc>
      </w:tr>
      <w:tr>
        <w:tc>
          <w:tcPr>
            <w:tcW w:type="dxa" w:w="3168"/>
            <w:shd w:fill="F2F7FA" w:val="clear"/>
          </w:tcPr>
          <w:p>
            <w:r/>
            <w:r>
              <w:rPr>
                <w:rFonts w:ascii="Arial" w:hAnsi="Arial"/>
                <w:b/>
                <w:sz w:val="20"/>
              </w:rPr>
              <w:t>Strategic Priorities (3–5 yr)</w:t>
            </w:r>
          </w:p>
        </w:tc>
        <w:tc>
          <w:tcPr>
            <w:tcW w:type="dxa" w:w="6192"/>
            <w:shd w:fill="F2F7FA" w:val="clear"/>
          </w:tcPr>
          <w:p>
            <w:r/>
            <w:r>
              <w:rPr>
                <w:rFonts w:ascii="Arial" w:hAnsi="Arial"/>
                <w:sz w:val="20"/>
              </w:rPr>
              <w:t>Expand digital advisory offering to next-gen clients; integrate AI into client portfolio management; reduce advisor-to-client ratios through hybrid service models; enter the RIA aggregator space</w:t>
            </w:r>
          </w:p>
        </w:tc>
      </w:tr>
      <w:tr>
        <w:tc>
          <w:tcPr>
            <w:tcW w:type="dxa" w:w="3168"/>
          </w:tcPr>
          <w:p>
            <w:r/>
            <w:r>
              <w:rPr>
                <w:rFonts w:ascii="Arial" w:hAnsi="Arial"/>
                <w:b/>
                <w:sz w:val="20"/>
              </w:rPr>
              <w:t>Current HR Model</w:t>
            </w:r>
          </w:p>
        </w:tc>
        <w:tc>
          <w:tcPr>
            <w:tcW w:type="dxa" w:w="6192"/>
          </w:tcPr>
          <w:p>
            <w:r/>
            <w:r>
              <w:rPr>
                <w:rFonts w:ascii="Arial" w:hAnsi="Arial"/>
                <w:sz w:val="20"/>
              </w:rPr>
              <w:t>Centralized COE model with Talent Acquisition, Total Rewards, L&amp;D, and HRBP functions. Shared services center in Charlotte handles transactional HR. HRBPs aligned to business units.</w:t>
            </w:r>
          </w:p>
        </w:tc>
      </w:tr>
      <w:tr>
        <w:tc>
          <w:tcPr>
            <w:tcW w:type="dxa" w:w="3168"/>
            <w:shd w:fill="F2F7FA" w:val="clear"/>
          </w:tcPr>
          <w:p>
            <w:r/>
            <w:r>
              <w:rPr>
                <w:rFonts w:ascii="Arial" w:hAnsi="Arial"/>
                <w:b/>
                <w:sz w:val="20"/>
              </w:rPr>
              <w:t>HRIS &amp; Technology</w:t>
            </w:r>
          </w:p>
        </w:tc>
        <w:tc>
          <w:tcPr>
            <w:tcW w:type="dxa" w:w="6192"/>
            <w:shd w:fill="F2F7FA" w:val="clear"/>
          </w:tcPr>
          <w:p>
            <w:r/>
            <w:r>
              <w:rPr>
                <w:rFonts w:ascii="Arial" w:hAnsi="Arial"/>
                <w:sz w:val="20"/>
              </w:rPr>
              <w:t>Workday HCM (implemented 2021), Cornerstone OnDemand for learning, Greenhouse for recruiting, Qualtrics for annual engagement survey, ServiceNow for HR case management</w:t>
            </w:r>
          </w:p>
        </w:tc>
      </w:tr>
      <w:tr>
        <w:tc>
          <w:tcPr>
            <w:tcW w:type="dxa" w:w="3168"/>
          </w:tcPr>
          <w:p>
            <w:r/>
            <w:r>
              <w:rPr>
                <w:rFonts w:ascii="Arial" w:hAnsi="Arial"/>
                <w:b/>
                <w:sz w:val="20"/>
              </w:rPr>
              <w:t>AI Maturity</w:t>
            </w:r>
          </w:p>
        </w:tc>
        <w:tc>
          <w:tcPr>
            <w:tcW w:type="dxa" w:w="6192"/>
          </w:tcPr>
          <w:p>
            <w:r/>
            <w:r>
              <w:rPr>
                <w:rFonts w:ascii="Arial" w:hAnsi="Arial"/>
                <w:sz w:val="20"/>
              </w:rPr>
              <w:t>Early stage. Piloting AI in client-facing portfolio analytics. No AI in HR operations beyond chatbot in ServiceNow. Data science team of 6 embedded in Technology division.</w:t>
            </w:r>
          </w:p>
        </w:tc>
      </w:tr>
      <w:tr>
        <w:tc>
          <w:tcPr>
            <w:tcW w:type="dxa" w:w="3168"/>
            <w:shd w:fill="F2F7FA" w:val="clear"/>
          </w:tcPr>
          <w:p>
            <w:r/>
            <w:r>
              <w:rPr>
                <w:rFonts w:ascii="Arial" w:hAnsi="Arial"/>
                <w:b/>
                <w:sz w:val="20"/>
              </w:rPr>
              <w:t>Known Pain Points</w:t>
            </w:r>
          </w:p>
        </w:tc>
        <w:tc>
          <w:tcPr>
            <w:tcW w:type="dxa" w:w="6192"/>
            <w:shd w:fill="F2F7FA" w:val="clear"/>
          </w:tcPr>
          <w:p>
            <w:r/>
            <w:r>
              <w:rPr>
                <w:rFonts w:ascii="Arial" w:hAnsi="Arial"/>
                <w:sz w:val="20"/>
              </w:rPr>
              <w:t>Slow time-to-fill for digital/hybrid roles (avg 94 days); rigid job architecture prevents cross-functional staffing; annual engagement survey delivers stale insights; COEs operate in silos with no shared outcome accountability; compliance processes are manual and checkpoint-heavy</w:t>
            </w:r>
          </w:p>
        </w:tc>
      </w:tr>
      <w:tr>
        <w:tc>
          <w:tcPr>
            <w:tcW w:type="dxa" w:w="3168"/>
          </w:tcPr>
          <w:p>
            <w:r/>
            <w:r>
              <w:rPr>
                <w:rFonts w:ascii="Arial" w:hAnsi="Arial"/>
                <w:b/>
                <w:sz w:val="20"/>
              </w:rPr>
              <w:t>Executive Sponsor</w:t>
            </w:r>
          </w:p>
        </w:tc>
        <w:tc>
          <w:tcPr>
            <w:tcW w:type="dxa" w:w="6192"/>
          </w:tcPr>
          <w:p>
            <w:r/>
            <w:r>
              <w:rPr>
                <w:rFonts w:ascii="Arial" w:hAnsi="Arial"/>
                <w:sz w:val="20"/>
              </w:rPr>
              <w:t>Rachel Torres, Chief People Officer, reporting to CEO. Steering committee includes CTO, CFO, and Head of Digital Advisory.</w:t>
            </w:r>
          </w:p>
        </w:tc>
      </w:tr>
      <w:tr>
        <w:tc>
          <w:tcPr>
            <w:tcW w:type="dxa" w:w="3168"/>
            <w:shd w:fill="F2F7FA" w:val="clear"/>
          </w:tcPr>
          <w:p>
            <w:r/>
            <w:r>
              <w:rPr>
                <w:rFonts w:ascii="Arial" w:hAnsi="Arial"/>
                <w:b/>
                <w:sz w:val="20"/>
              </w:rPr>
              <w:t>Parallel Unit Scope</w:t>
            </w:r>
          </w:p>
        </w:tc>
        <w:tc>
          <w:tcPr>
            <w:tcW w:type="dxa" w:w="6192"/>
            <w:shd w:fill="F2F7FA" w:val="clear"/>
          </w:tcPr>
          <w:p>
            <w:r/>
            <w:r>
              <w:rPr>
                <w:rFonts w:ascii="Arial" w:hAnsi="Arial"/>
                <w:sz w:val="20"/>
              </w:rPr>
              <w:t>Digital Advisory Division — a new 400-person unit serving clients under 45 through a hybrid human-AI advisory model. Organized around a product line (digital wealth platform) rather than geography.</w:t>
            </w:r>
          </w:p>
        </w:tc>
      </w:tr>
      <w:tr>
        <w:tc>
          <w:tcPr>
            <w:tcW w:type="dxa" w:w="3168"/>
          </w:tcPr>
          <w:p>
            <w:r/>
            <w:r>
              <w:rPr>
                <w:rFonts w:ascii="Arial" w:hAnsi="Arial"/>
                <w:b/>
                <w:sz w:val="20"/>
              </w:rPr>
              <w:t>Strategic Rationale</w:t>
            </w:r>
          </w:p>
        </w:tc>
        <w:tc>
          <w:tcPr>
            <w:tcW w:type="dxa" w:w="6192"/>
          </w:tcPr>
          <w:p>
            <w:r/>
            <w:r>
              <w:rPr>
                <w:rFonts w:ascii="Arial" w:hAnsi="Arial"/>
                <w:sz w:val="20"/>
              </w:rPr>
              <w:t>The Digital Advisory Division is structurally different from legacy advisory: it operates at higher speed, requires fluid cross-functional teaming, and uses AI as a core operating capability. The legacy HR model cannot support this operating rhythm without imposing the same rigidity the division was created to escape.</w:t>
            </w:r>
          </w:p>
        </w:tc>
      </w:tr>
    </w:tbl>
    <w:p>
      <w:r>
        <w:br w:type="page"/>
      </w:r>
    </w:p>
    <w:p>
      <w:pPr>
        <w:pStyle w:val="Heading1"/>
      </w:pPr>
      <w:r>
        <w:t>Deliverable 1.1: Legacy Operating Model Assessment</w:t>
      </w:r>
    </w:p>
    <w:p>
      <w:pPr>
        <w:spacing w:after="160"/>
      </w:pPr>
      <w:r>
        <w:rPr>
          <w:rFonts w:ascii="Arial" w:hAnsi="Arial"/>
          <w:sz w:val="22"/>
        </w:rPr>
        <w:t>This assessment evaluates Meridian Wealth Partners’ current HR operating model against the five AI-era constraints. In the parallel build context, the purpose is not to identify where to begin migrating the legacy model, but rather to document the specific constraints and dysfunctions the parallel unit is designed to escape—and to identify the legacy model’s strengths that must not be lost.</w:t>
      </w:r>
    </w:p>
    <w:p>
      <w:pPr>
        <w:pStyle w:val="Heading2"/>
      </w:pPr>
      <w:r>
        <w:t>Constraint Analysis</w:t>
      </w:r>
    </w:p>
    <w:p>
      <w:pPr>
        <w:pStyle w:val="Heading3"/>
      </w:pPr>
      <w:r>
        <w:t>1. Rigidity</w:t>
      </w:r>
    </w:p>
    <w:p>
      <w:pPr>
        <w:spacing w:after="160"/>
      </w:pPr>
      <w:r>
        <w:rPr>
          <w:rFonts w:ascii="Arial" w:hAnsi="Arial"/>
          <w:sz w:val="22"/>
        </w:rPr>
        <w:t>Meridian’s HR model locks capability into fixed positions defined by a 14-level job architecture originally designed for traditional advisory roles. The architecture has 312 unique job codes, each with a static job description, a fixed compensation band, and a defined reporting relationship. When the Digital Advisory Division needs a financial advisor who can also configure AI recommendation engines, the job architecture has no container for this capability combination. The current process requires creating a new job code (6–8 weeks through compensation review), posting and filling the role through standard requisition workflow (adding another 4–12 weeks), and slotting the person into a single reporting line that may not reflect their actual work.</w:t>
      </w:r>
    </w:p>
    <w:p>
      <w:pPr>
        <w:spacing w:after="160"/>
      </w:pPr>
      <w:r>
        <w:rPr>
          <w:rFonts w:ascii="Arial" w:hAnsi="Arial"/>
          <w:sz w:val="22"/>
        </w:rPr>
        <w:t>This rigidity directly impedes the parallel unit’s operating model, which requires deploying capability fluidly across outcome domains rather than assigning people to fixed positions. The 94-day average time-to-fill for digital roles is a symptom: the job architecture cannot describe the roles the division needs, so every hire is a custom negotiation with compensation and compliance.</w:t>
      </w:r>
    </w:p>
    <w:p>
      <w:pPr>
        <w:pStyle w:val="Heading3"/>
      </w:pPr>
      <w:r>
        <w:t>2. Latency</w:t>
      </w:r>
    </w:p>
    <w:p>
      <w:pPr>
        <w:spacing w:after="160"/>
      </w:pPr>
      <w:r>
        <w:rPr>
          <w:rFonts w:ascii="Arial" w:hAnsi="Arial"/>
          <w:sz w:val="22"/>
        </w:rPr>
        <w:t>The organization senses workforce conditions primarily through periodic instruments: an annual engagement survey (Qualtrics, conducted each October), quarterly business reviews with HRBPs, and monthly attrition reporting. The gap between signal and response is measured in months. When three senior AI engineers in the Digital Advisory pilot resigned within six weeks of each other in Q3 2025, the pattern was not surfaced until the October engagement survey results were analyzed in November—by which point the remaining AI engineering team had already reorganized informally around the departures. The HRBP’s quarterly review had noted ‘some turnover concerns’ but lacked the signal resolution to distinguish a critical-capability retention crisis from normal attrition.</w:t>
      </w:r>
    </w:p>
    <w:p>
      <w:pPr>
        <w:spacing w:after="160"/>
      </w:pPr>
      <w:r>
        <w:rPr>
          <w:rFonts w:ascii="Arial" w:hAnsi="Arial"/>
          <w:sz w:val="22"/>
        </w:rPr>
        <w:t>The parallel unit requires sensing that operates at operational cadence—detecting truth-state changes in days or weeks, not quarters or years.</w:t>
      </w:r>
    </w:p>
    <w:p>
      <w:pPr>
        <w:pStyle w:val="Heading3"/>
      </w:pPr>
      <w:r>
        <w:t>3. Complexity</w:t>
      </w:r>
    </w:p>
    <w:p>
      <w:pPr>
        <w:spacing w:after="160"/>
      </w:pPr>
      <w:r>
        <w:rPr>
          <w:rFonts w:ascii="Arial" w:hAnsi="Arial"/>
          <w:sz w:val="22"/>
        </w:rPr>
        <w:t>Meridian’s HR processes have accumulated significant procedural complexity. A single hiring decision for the Digital Advisory Division touches seven distinct systems (Greenhouse, Workday, ServiceNow, Cornerstone, the compensation modeling spreadsheet maintained by Total Rewards, the background check vendor portal, and email-based approval chains) and requires sign-offs from the hiring manager, the HRBP, the COE lead for the relevant specialty, and the compensation committee for any role above Level 10. The average number of process steps from approved requisition to Day 1 is 47. No single person can describe the entire process end to end.</w:t>
      </w:r>
    </w:p>
    <w:p>
      <w:pPr>
        <w:spacing w:after="160"/>
      </w:pPr>
      <w:r>
        <w:rPr>
          <w:rFonts w:ascii="Arial" w:hAnsi="Arial"/>
          <w:sz w:val="22"/>
        </w:rPr>
        <w:t>This complexity is a product of layered controls added over fifteen years to address audit findings, regulatory requirements, and one-off executive decisions. Each control was rational in isolation; in aggregate, they create a system that cannot be navigated without institutional memory distributed across multiple HR professionals.</w:t>
      </w:r>
    </w:p>
    <w:p>
      <w:pPr>
        <w:pStyle w:val="Heading3"/>
      </w:pPr>
      <w:r>
        <w:t>4. Legibility</w:t>
      </w:r>
    </w:p>
    <w:p>
      <w:pPr>
        <w:spacing w:after="160"/>
      </w:pPr>
      <w:r>
        <w:rPr>
          <w:rFonts w:ascii="Arial" w:hAnsi="Arial"/>
          <w:sz w:val="22"/>
        </w:rPr>
        <w:t>The organization’s ability to see its workforce is mediated by Workday’s position-based data model. Meridian can answer questions like ‘how many Level 12 Financial Advisors are in the Northeast region?’ instantly. It cannot answer ‘which employees have the capability to design AI-augmented client portfolios?’ because capability is not a first-class entity in the data model. Skills data exists in Cornerstone but is self-reported, inconsistently maintained, and not integrated with Workday’s organizational data.</w:t>
      </w:r>
    </w:p>
    <w:p>
      <w:pPr>
        <w:spacing w:after="160"/>
      </w:pPr>
      <w:r>
        <w:rPr>
          <w:rFonts w:ascii="Arial" w:hAnsi="Arial"/>
          <w:sz w:val="22"/>
        </w:rPr>
        <w:t>For the Digital Advisory Division, this means the organization cannot see its own capability landscape with the resolution needed to staff cross-functional teams. Managers resort to personal networks and informal reputation to identify capability, which works at small scale but will not survive the division’s growth from 400 to a projected 1,200 people over three years.</w:t>
      </w:r>
    </w:p>
    <w:p>
      <w:pPr>
        <w:pStyle w:val="Heading3"/>
      </w:pPr>
      <w:r>
        <w:t>5. Agency</w:t>
      </w:r>
    </w:p>
    <w:p>
      <w:pPr>
        <w:spacing w:after="160"/>
      </w:pPr>
      <w:r>
        <w:rPr>
          <w:rFonts w:ascii="Arial" w:hAnsi="Arial"/>
          <w:sz w:val="22"/>
        </w:rPr>
        <w:t>Decision authority in Meridian’s HR model is concentrated in COE leaders and senior HRBPs. Frontline managers have limited agency over workforce decisions: they can request a hire but not determine the role design, request a transfer but not adjust compensation, identify a development need but not commission a solution. The HRBP serves as an intermediary who translates business needs into HR process language and navigates the COE landscape on the manager’s behalf.</w:t>
      </w:r>
    </w:p>
    <w:p>
      <w:pPr>
        <w:spacing w:after="160"/>
      </w:pPr>
      <w:r>
        <w:rPr>
          <w:rFonts w:ascii="Arial" w:hAnsi="Arial"/>
          <w:sz w:val="22"/>
        </w:rPr>
        <w:t>In the Digital Advisory Division, where Outcome Owners need the authority to compose and recompose teams in response to changing truth states, this intermediated model introduces delays and information loss that directly impede outcome achievement.</w:t>
      </w:r>
    </w:p>
    <w:p>
      <w:pPr>
        <w:pStyle w:val="Heading2"/>
      </w:pPr>
      <w:r>
        <w:t>Legacy Strengths to Preserve</w:t>
      </w:r>
    </w:p>
    <w:p>
      <w:pPr>
        <w:spacing w:after="160"/>
      </w:pPr>
      <w:r>
        <w:rPr>
          <w:rFonts w:ascii="Arial" w:hAnsi="Arial"/>
          <w:sz w:val="22"/>
        </w:rPr>
        <w:t>The assessment also identifies four capabilities in the legacy model that the parallel unit must replicate or access:</w:t>
      </w:r>
    </w:p>
    <w:p>
      <w:pPr>
        <w:pStyle w:val="ListBullet"/>
        <w:spacing w:after="80"/>
      </w:pPr>
      <w:r>
        <w:rPr>
          <w:rFonts w:ascii="Arial" w:hAnsi="Arial"/>
          <w:sz w:val="22"/>
        </w:rPr>
        <w:t>Compliance infrastructure. Meridian’s HR compliance function has a strong track record with FINRA, SEC, and state regulatory requirements. The checkpoint-based approach is slow but thorough. The parallel unit must achieve equivalent compliance outcomes through different structural means.</w:t>
      </w:r>
    </w:p>
    <w:p>
      <w:pPr>
        <w:pStyle w:val="ListBullet"/>
        <w:spacing w:after="80"/>
      </w:pPr>
      <w:r>
        <w:rPr>
          <w:rFonts w:ascii="Arial" w:hAnsi="Arial"/>
          <w:sz w:val="22"/>
        </w:rPr>
        <w:t>Institutional knowledge in Total Rewards. The compensation team holds deep expertise in financial services compensation design, including deferred compensation structures, carried interest arrangements, and regulatory constraints on incentive pay. This knowledge must be available to the parallel unit even if the delivery mechanism changes.</w:t>
      </w:r>
    </w:p>
    <w:p>
      <w:pPr>
        <w:pStyle w:val="ListBullet"/>
        <w:spacing w:after="80"/>
      </w:pPr>
      <w:r>
        <w:rPr>
          <w:rFonts w:ascii="Arial" w:hAnsi="Arial"/>
          <w:sz w:val="22"/>
        </w:rPr>
        <w:t>HRBP relationship capital. Senior HRBPs have trusted relationships with business leaders built over years. These relationships carry organizational intelligence that is not captured in any system. The parallel unit’s Outcome Owners will need to build equivalent relationships from scratch.</w:t>
      </w:r>
    </w:p>
    <w:p>
      <w:pPr>
        <w:pStyle w:val="ListBullet"/>
        <w:spacing w:after="80"/>
      </w:pPr>
      <w:r>
        <w:rPr>
          <w:rFonts w:ascii="Arial" w:hAnsi="Arial"/>
          <w:sz w:val="22"/>
        </w:rPr>
        <w:t>Learning content library. Cornerstone contains 2,400 curated learning assets specific to financial advisory competencies, including 340 proprietary modules developed in-house. This content has value independent of the delivery platform.</w:t>
      </w:r>
    </w:p>
    <w:p>
      <w:r>
        <w:br w:type="page"/>
      </w:r>
    </w:p>
    <w:p>
      <w:pPr>
        <w:pStyle w:val="Heading1"/>
      </w:pPr>
      <w:r>
        <w:t>Deliverable 1.2: Parallel Unit Scope Definition</w:t>
      </w:r>
    </w:p>
    <w:p>
      <w:pPr>
        <w:pStyle w:val="Heading2"/>
      </w:pPr>
      <w:r>
        <w:t>Unit Identity</w:t>
      </w:r>
    </w:p>
    <w:tbl>
      <w:tblPr>
        <w:tblStyle w:val="TableGrid"/>
        <w:tblW w:type="auto" w:w="0"/>
        <w:jc w:val="center"/>
        <w:tblLook w:firstColumn="1" w:firstRow="1" w:lastColumn="0" w:lastRow="0" w:noHBand="0" w:noVBand="1" w:val="04A0"/>
      </w:tblPr>
      <w:tblGrid>
        <w:gridCol w:w="4680"/>
        <w:gridCol w:w="4680"/>
      </w:tblGrid>
      <w:tr>
        <w:tc>
          <w:tcPr>
            <w:tcW w:type="dxa" w:w="3168"/>
            <w:shd w:fill="1B4F72" w:val="clear"/>
          </w:tcPr>
          <w:p>
            <w:r/>
            <w:r>
              <w:rPr>
                <w:rFonts w:ascii="Arial" w:hAnsi="Arial"/>
                <w:b/>
                <w:color w:val="FFFFFF"/>
                <w:sz w:val="20"/>
              </w:rPr>
              <w:t>Attribute</w:t>
            </w:r>
          </w:p>
        </w:tc>
        <w:tc>
          <w:tcPr>
            <w:tcW w:type="dxa" w:w="6192"/>
            <w:shd w:fill="1B4F72" w:val="clear"/>
          </w:tcPr>
          <w:p>
            <w:r/>
            <w:r>
              <w:rPr>
                <w:rFonts w:ascii="Arial" w:hAnsi="Arial"/>
                <w:b/>
                <w:color w:val="FFFFFF"/>
                <w:sz w:val="20"/>
              </w:rPr>
              <w:t>Specification</w:t>
            </w:r>
          </w:p>
        </w:tc>
      </w:tr>
      <w:tr>
        <w:tc>
          <w:tcPr>
            <w:tcW w:type="dxa" w:w="3168"/>
            <w:shd w:fill="F2F7FA" w:val="clear"/>
          </w:tcPr>
          <w:p>
            <w:r/>
            <w:r>
              <w:rPr>
                <w:rFonts w:ascii="Arial" w:hAnsi="Arial"/>
                <w:b/>
                <w:sz w:val="20"/>
              </w:rPr>
              <w:t>Unit Name</w:t>
            </w:r>
          </w:p>
        </w:tc>
        <w:tc>
          <w:tcPr>
            <w:tcW w:type="dxa" w:w="6192"/>
            <w:shd w:fill="F2F7FA" w:val="clear"/>
          </w:tcPr>
          <w:p>
            <w:r/>
            <w:r>
              <w:rPr>
                <w:rFonts w:ascii="Arial" w:hAnsi="Arial"/>
                <w:sz w:val="20"/>
              </w:rPr>
              <w:t>Digital Advisory Division — People Operations Unit</w:t>
            </w:r>
          </w:p>
        </w:tc>
      </w:tr>
      <w:tr>
        <w:tc>
          <w:tcPr>
            <w:tcW w:type="dxa" w:w="3168"/>
          </w:tcPr>
          <w:p>
            <w:r/>
            <w:r>
              <w:rPr>
                <w:rFonts w:ascii="Arial" w:hAnsi="Arial"/>
                <w:b/>
                <w:sz w:val="20"/>
              </w:rPr>
              <w:t>Business Domain</w:t>
            </w:r>
          </w:p>
        </w:tc>
        <w:tc>
          <w:tcPr>
            <w:tcW w:type="dxa" w:w="6192"/>
          </w:tcPr>
          <w:p>
            <w:r/>
            <w:r>
              <w:rPr>
                <w:rFonts w:ascii="Arial" w:hAnsi="Arial"/>
                <w:sz w:val="20"/>
              </w:rPr>
              <w:t>Hybrid human-AI wealth advisory services for clients under 45</w:t>
            </w:r>
          </w:p>
        </w:tc>
      </w:tr>
      <w:tr>
        <w:tc>
          <w:tcPr>
            <w:tcW w:type="dxa" w:w="3168"/>
            <w:shd w:fill="F2F7FA" w:val="clear"/>
          </w:tcPr>
          <w:p>
            <w:r/>
            <w:r>
              <w:rPr>
                <w:rFonts w:ascii="Arial" w:hAnsi="Arial"/>
                <w:b/>
                <w:sz w:val="20"/>
              </w:rPr>
              <w:t>Workforce Population</w:t>
            </w:r>
          </w:p>
        </w:tc>
        <w:tc>
          <w:tcPr>
            <w:tcW w:type="dxa" w:w="6192"/>
            <w:shd w:fill="F2F7FA" w:val="clear"/>
          </w:tcPr>
          <w:p>
            <w:r/>
            <w:r>
              <w:rPr>
                <w:rFonts w:ascii="Arial" w:hAnsi="Arial"/>
                <w:sz w:val="20"/>
              </w:rPr>
              <w:t>~400 at launch, projected to 1,200 within 36 months</w:t>
            </w:r>
          </w:p>
        </w:tc>
      </w:tr>
      <w:tr>
        <w:tc>
          <w:tcPr>
            <w:tcW w:type="dxa" w:w="3168"/>
          </w:tcPr>
          <w:p>
            <w:r/>
            <w:r>
              <w:rPr>
                <w:rFonts w:ascii="Arial" w:hAnsi="Arial"/>
                <w:b/>
                <w:sz w:val="20"/>
              </w:rPr>
              <w:t>Geographic Footprint</w:t>
            </w:r>
          </w:p>
        </w:tc>
        <w:tc>
          <w:tcPr>
            <w:tcW w:type="dxa" w:w="6192"/>
          </w:tcPr>
          <w:p>
            <w:r/>
            <w:r>
              <w:rPr>
                <w:rFonts w:ascii="Arial" w:hAnsi="Arial"/>
                <w:sz w:val="20"/>
              </w:rPr>
              <w:t>Distributed (remote-first with hub presence in New York, San Francisco, and Austin)</w:t>
            </w:r>
          </w:p>
        </w:tc>
      </w:tr>
      <w:tr>
        <w:tc>
          <w:tcPr>
            <w:tcW w:type="dxa" w:w="3168"/>
            <w:shd w:fill="F2F7FA" w:val="clear"/>
          </w:tcPr>
          <w:p>
            <w:r/>
            <w:r>
              <w:rPr>
                <w:rFonts w:ascii="Arial" w:hAnsi="Arial"/>
                <w:b/>
                <w:sz w:val="20"/>
              </w:rPr>
              <w:t>Organizing Principle</w:t>
            </w:r>
          </w:p>
        </w:tc>
        <w:tc>
          <w:tcPr>
            <w:tcW w:type="dxa" w:w="6192"/>
            <w:shd w:fill="F2F7FA" w:val="clear"/>
          </w:tcPr>
          <w:p>
            <w:r/>
            <w:r>
              <w:rPr>
                <w:rFonts w:ascii="Arial" w:hAnsi="Arial"/>
                <w:sz w:val="20"/>
              </w:rPr>
              <w:t>Product line (digital wealth platform) rather than geography or client segment</w:t>
            </w:r>
          </w:p>
        </w:tc>
      </w:tr>
    </w:tbl>
    <w:p/>
    <w:p>
      <w:pPr>
        <w:pStyle w:val="Heading2"/>
      </w:pPr>
      <w:r>
        <w:t>Scope Boundary</w:t>
      </w:r>
    </w:p>
    <w:p>
      <w:pPr>
        <w:pStyle w:val="Heading3"/>
      </w:pPr>
      <w:r>
        <w:t>Inside the Parallel Unit</w:t>
      </w:r>
    </w:p>
    <w:p>
      <w:pPr>
        <w:pStyle w:val="ListBullet"/>
        <w:spacing w:after="80"/>
      </w:pPr>
      <w:r>
        <w:rPr>
          <w:rFonts w:ascii="Arial" w:hAnsi="Arial"/>
          <w:sz w:val="22"/>
        </w:rPr>
        <w:t>All people operations for the Digital Advisory Division workforce: talent deployment, capability development, performance enablement, workforce experience, and compliance for this population.</w:t>
      </w:r>
    </w:p>
    <w:p>
      <w:pPr>
        <w:pStyle w:val="ListBullet"/>
        <w:spacing w:after="80"/>
      </w:pPr>
      <w:r>
        <w:rPr>
          <w:rFonts w:ascii="Arial" w:hAnsi="Arial"/>
          <w:sz w:val="22"/>
        </w:rPr>
        <w:t>Authority to design role architecture, teaming structures, and capability requirements independent of the legacy job architecture.</w:t>
      </w:r>
    </w:p>
    <w:p>
      <w:pPr>
        <w:pStyle w:val="ListBullet"/>
        <w:spacing w:after="80"/>
      </w:pPr>
      <w:r>
        <w:rPr>
          <w:rFonts w:ascii="Arial" w:hAnsi="Arial"/>
          <w:sz w:val="22"/>
        </w:rPr>
        <w:t>Own signal architecture and sensing infrastructure for workforce conditions within the division.</w:t>
      </w:r>
    </w:p>
    <w:p>
      <w:pPr>
        <w:pStyle w:val="ListBullet"/>
        <w:spacing w:after="80"/>
      </w:pPr>
      <w:r>
        <w:rPr>
          <w:rFonts w:ascii="Arial" w:hAnsi="Arial"/>
          <w:sz w:val="22"/>
        </w:rPr>
        <w:t>Own AI-native operating loop design: sense–diagnose–design–execute–monitor for all workforce outcomes.</w:t>
      </w:r>
    </w:p>
    <w:p>
      <w:pPr>
        <w:pStyle w:val="ListBullet"/>
        <w:spacing w:after="80"/>
      </w:pPr>
      <w:r>
        <w:rPr>
          <w:rFonts w:ascii="Arial" w:hAnsi="Arial"/>
          <w:sz w:val="22"/>
        </w:rPr>
        <w:t>Governance-as-architecture implementation for FINRA/SEC compliance requirements applicable to the division’s workforce.</w:t>
      </w:r>
    </w:p>
    <w:p>
      <w:pPr>
        <w:pStyle w:val="Heading3"/>
      </w:pPr>
      <w:r>
        <w:t>Outside the Parallel Unit (Remains in Legacy)</w:t>
      </w:r>
    </w:p>
    <w:p>
      <w:pPr>
        <w:pStyle w:val="ListBullet"/>
        <w:spacing w:after="80"/>
      </w:pPr>
      <w:r>
        <w:rPr>
          <w:rFonts w:ascii="Arial" w:hAnsi="Arial"/>
          <w:sz w:val="22"/>
        </w:rPr>
        <w:t>All HR operations for the remaining ~2,400 employees across traditional advisory, institutional, and corporate functions.</w:t>
      </w:r>
    </w:p>
    <w:p>
      <w:pPr>
        <w:pStyle w:val="ListBullet"/>
        <w:spacing w:after="80"/>
      </w:pPr>
      <w:r>
        <w:rPr>
          <w:rFonts w:ascii="Arial" w:hAnsi="Arial"/>
          <w:sz w:val="22"/>
        </w:rPr>
        <w:t>Enterprise compensation philosophy and executive compensation design.</w:t>
      </w:r>
    </w:p>
    <w:p>
      <w:pPr>
        <w:pStyle w:val="ListBullet"/>
        <w:spacing w:after="80"/>
      </w:pPr>
      <w:r>
        <w:rPr>
          <w:rFonts w:ascii="Arial" w:hAnsi="Arial"/>
          <w:sz w:val="22"/>
        </w:rPr>
        <w:t>Enterprise benefits administration (health, retirement, equity plans).</w:t>
      </w:r>
    </w:p>
    <w:p>
      <w:pPr>
        <w:pStyle w:val="ListBullet"/>
        <w:spacing w:after="80"/>
      </w:pPr>
      <w:r>
        <w:rPr>
          <w:rFonts w:ascii="Arial" w:hAnsi="Arial"/>
          <w:sz w:val="22"/>
        </w:rPr>
        <w:t>Enterprise HRIS (Workday) system administration and data governance.</w:t>
      </w:r>
    </w:p>
    <w:p>
      <w:pPr>
        <w:pStyle w:val="ListBullet"/>
        <w:spacing w:after="80"/>
      </w:pPr>
      <w:r>
        <w:rPr>
          <w:rFonts w:ascii="Arial" w:hAnsi="Arial"/>
          <w:sz w:val="22"/>
        </w:rPr>
        <w:t>Enterprise labor relations and legal employment matters.</w:t>
      </w:r>
    </w:p>
    <w:p>
      <w:pPr>
        <w:pStyle w:val="Heading2"/>
      </w:pPr>
      <w:r>
        <w:t>Integration Points</w:t>
      </w:r>
    </w:p>
    <w:p>
      <w:pPr>
        <w:spacing w:after="160"/>
      </w:pPr>
      <w:r>
        <w:rPr>
          <w:rFonts w:ascii="Arial" w:hAnsi="Arial"/>
          <w:sz w:val="22"/>
        </w:rPr>
        <w:t>The following integration points define where the parallel unit and legacy organization must interact. Each becomes a coexistence design requirement addressed in Phase 7:</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r/>
            <w:r>
              <w:rPr>
                <w:rFonts w:ascii="Arial" w:hAnsi="Arial"/>
                <w:b/>
                <w:color w:val="FFFFFF"/>
                <w:sz w:val="20"/>
              </w:rPr>
              <w:t>Integration Point</w:t>
            </w:r>
          </w:p>
        </w:tc>
        <w:tc>
          <w:tcPr>
            <w:tcW w:type="dxa" w:w="3600"/>
            <w:shd w:fill="1B4F72" w:val="clear"/>
          </w:tcPr>
          <w:p>
            <w:r/>
            <w:r>
              <w:rPr>
                <w:rFonts w:ascii="Arial" w:hAnsi="Arial"/>
                <w:b/>
                <w:color w:val="FFFFFF"/>
                <w:sz w:val="20"/>
              </w:rPr>
              <w:t>Description</w:t>
            </w:r>
          </w:p>
        </w:tc>
        <w:tc>
          <w:tcPr>
            <w:tcW w:type="dxa" w:w="3600"/>
            <w:shd w:fill="1B4F72" w:val="clear"/>
          </w:tcPr>
          <w:p>
            <w:r/>
            <w:r>
              <w:rPr>
                <w:rFonts w:ascii="Arial" w:hAnsi="Arial"/>
                <w:b/>
                <w:color w:val="FFFFFF"/>
                <w:sz w:val="20"/>
              </w:rPr>
              <w:t>Design Implication</w:t>
            </w:r>
          </w:p>
        </w:tc>
      </w:tr>
      <w:tr>
        <w:tc>
          <w:tcPr>
            <w:tcW w:type="dxa" w:w="2160"/>
            <w:shd w:fill="F2F7FA" w:val="clear"/>
          </w:tcPr>
          <w:p>
            <w:r/>
            <w:r>
              <w:rPr>
                <w:rFonts w:ascii="Arial" w:hAnsi="Arial"/>
                <w:b/>
                <w:sz w:val="20"/>
              </w:rPr>
              <w:t>Shared Employees</w:t>
            </w:r>
          </w:p>
        </w:tc>
        <w:tc>
          <w:tcPr>
            <w:tcW w:type="dxa" w:w="3600"/>
            <w:shd w:fill="F2F7FA" w:val="clear"/>
          </w:tcPr>
          <w:p>
            <w:r/>
            <w:r>
              <w:rPr>
                <w:rFonts w:ascii="Arial" w:hAnsi="Arial"/>
                <w:sz w:val="20"/>
              </w:rPr>
              <w:t>12 compliance specialists currently serve both legacy and digital advisory. During dual-operating period, these individuals will have dual reporting.</w:t>
            </w:r>
          </w:p>
        </w:tc>
        <w:tc>
          <w:tcPr>
            <w:tcW w:type="dxa" w:w="3600"/>
            <w:shd w:fill="F2F7FA" w:val="clear"/>
          </w:tcPr>
          <w:p>
            <w:r/>
            <w:r>
              <w:rPr>
                <w:rFonts w:ascii="Arial" w:hAnsi="Arial"/>
                <w:sz w:val="20"/>
              </w:rPr>
              <w:t>Requires authority model that handles split assignments without creating conflicting direction.</w:t>
            </w:r>
          </w:p>
        </w:tc>
      </w:tr>
      <w:tr>
        <w:tc>
          <w:tcPr>
            <w:tcW w:type="dxa" w:w="2160"/>
          </w:tcPr>
          <w:p>
            <w:r/>
            <w:r>
              <w:rPr>
                <w:rFonts w:ascii="Arial" w:hAnsi="Arial"/>
                <w:b/>
                <w:sz w:val="20"/>
              </w:rPr>
              <w:t>Shared Technology</w:t>
            </w:r>
          </w:p>
        </w:tc>
        <w:tc>
          <w:tcPr>
            <w:tcW w:type="dxa" w:w="3600"/>
          </w:tcPr>
          <w:p>
            <w:r/>
            <w:r>
              <w:rPr>
                <w:rFonts w:ascii="Arial" w:hAnsi="Arial"/>
                <w:sz w:val="20"/>
              </w:rPr>
              <w:t>Both models operate on Workday. The parallel unit needs capability-based data fields that don’t exist in the current configuration.</w:t>
            </w:r>
          </w:p>
        </w:tc>
        <w:tc>
          <w:tcPr>
            <w:tcW w:type="dxa" w:w="3600"/>
          </w:tcPr>
          <w:p>
            <w:r/>
            <w:r>
              <w:rPr>
                <w:rFonts w:ascii="Arial" w:hAnsi="Arial"/>
                <w:sz w:val="20"/>
              </w:rPr>
              <w:t>Either extend Workday with custom fields or build a capability layer on top. Must not break legacy reporting.</w:t>
            </w:r>
          </w:p>
        </w:tc>
      </w:tr>
      <w:tr>
        <w:tc>
          <w:tcPr>
            <w:tcW w:type="dxa" w:w="2160"/>
            <w:shd w:fill="F2F7FA" w:val="clear"/>
          </w:tcPr>
          <w:p>
            <w:r/>
            <w:r>
              <w:rPr>
                <w:rFonts w:ascii="Arial" w:hAnsi="Arial"/>
                <w:b/>
                <w:sz w:val="20"/>
              </w:rPr>
              <w:t>Shared Governance</w:t>
            </w:r>
          </w:p>
        </w:tc>
        <w:tc>
          <w:tcPr>
            <w:tcW w:type="dxa" w:w="3600"/>
            <w:shd w:fill="F2F7FA" w:val="clear"/>
          </w:tcPr>
          <w:p>
            <w:r/>
            <w:r>
              <w:rPr>
                <w:rFonts w:ascii="Arial" w:hAnsi="Arial"/>
                <w:sz w:val="20"/>
              </w:rPr>
              <w:t>FINRA registration, SEC compliance, and state licensing requirements apply across both organizations identically.</w:t>
            </w:r>
          </w:p>
        </w:tc>
        <w:tc>
          <w:tcPr>
            <w:tcW w:type="dxa" w:w="3600"/>
            <w:shd w:fill="F2F7FA" w:val="clear"/>
          </w:tcPr>
          <w:p>
            <w:r/>
            <w:r>
              <w:rPr>
                <w:rFonts w:ascii="Arial" w:hAnsi="Arial"/>
                <w:sz w:val="20"/>
              </w:rPr>
              <w:t>Parallel unit must demonstrate that invariant-based governance achieves equal or better compliance outcomes.</w:t>
            </w:r>
          </w:p>
        </w:tc>
      </w:tr>
      <w:tr>
        <w:tc>
          <w:tcPr>
            <w:tcW w:type="dxa" w:w="2160"/>
          </w:tcPr>
          <w:p>
            <w:r/>
            <w:r>
              <w:rPr>
                <w:rFonts w:ascii="Arial" w:hAnsi="Arial"/>
                <w:b/>
                <w:sz w:val="20"/>
              </w:rPr>
              <w:t>Talent Movement</w:t>
            </w:r>
          </w:p>
        </w:tc>
        <w:tc>
          <w:tcPr>
            <w:tcW w:type="dxa" w:w="3600"/>
          </w:tcPr>
          <w:p>
            <w:r/>
            <w:r>
              <w:rPr>
                <w:rFonts w:ascii="Arial" w:hAnsi="Arial"/>
                <w:sz w:val="20"/>
              </w:rPr>
              <w:t>Employees will transfer between legacy and digital advisory as the unit absorbs scope. Career paths must be legible in both directions.</w:t>
            </w:r>
          </w:p>
        </w:tc>
        <w:tc>
          <w:tcPr>
            <w:tcW w:type="dxa" w:w="3600"/>
          </w:tcPr>
          <w:p>
            <w:r/>
            <w:r>
              <w:rPr>
                <w:rFonts w:ascii="Arial" w:hAnsi="Arial"/>
                <w:sz w:val="20"/>
              </w:rPr>
              <w:t>Requires compensation and career bridging architecture that maps between position-based and capability-based models.</w:t>
            </w:r>
          </w:p>
        </w:tc>
      </w:tr>
      <w:tr>
        <w:tc>
          <w:tcPr>
            <w:tcW w:type="dxa" w:w="2160"/>
            <w:shd w:fill="F2F7FA" w:val="clear"/>
          </w:tcPr>
          <w:p>
            <w:r/>
            <w:r>
              <w:rPr>
                <w:rFonts w:ascii="Arial" w:hAnsi="Arial"/>
                <w:b/>
                <w:sz w:val="20"/>
              </w:rPr>
              <w:t>Enterprise Reporting</w:t>
            </w:r>
          </w:p>
        </w:tc>
        <w:tc>
          <w:tcPr>
            <w:tcW w:type="dxa" w:w="3600"/>
            <w:shd w:fill="F2F7FA" w:val="clear"/>
          </w:tcPr>
          <w:p>
            <w:r/>
            <w:r>
              <w:rPr>
                <w:rFonts w:ascii="Arial" w:hAnsi="Arial"/>
                <w:sz w:val="20"/>
              </w:rPr>
              <w:t>Board and executive reporting currently aggregates all HR metrics. The parallel unit’s outcome-based metrics must be translatable to enterprise KPIs.</w:t>
            </w:r>
          </w:p>
        </w:tc>
        <w:tc>
          <w:tcPr>
            <w:tcW w:type="dxa" w:w="3600"/>
            <w:shd w:fill="F2F7FA" w:val="clear"/>
          </w:tcPr>
          <w:p>
            <w:r/>
            <w:r>
              <w:rPr>
                <w:rFonts w:ascii="Arial" w:hAnsi="Arial"/>
                <w:sz w:val="20"/>
              </w:rPr>
              <w:t>Requires a measurement translation layer for board reporting during dual-operating period.</w:t>
            </w:r>
          </w:p>
        </w:tc>
      </w:tr>
    </w:tbl>
    <w:p>
      <w:r>
        <w:br w:type="page"/>
      </w:r>
    </w:p>
    <w:p>
      <w:pPr>
        <w:pStyle w:val="Heading1"/>
      </w:pPr>
      <w:r>
        <w:t>Deliverable 1.3: Constraint Liberation Map</w:t>
      </w:r>
    </w:p>
    <w:p>
      <w:pPr>
        <w:spacing w:after="160"/>
      </w:pPr>
      <w:r>
        <w:rPr>
          <w:rFonts w:ascii="Arial" w:hAnsi="Arial"/>
          <w:sz w:val="22"/>
        </w:rPr>
        <w:t>This document specifies, for each of the five constraints identified in the Legacy Operating Model Assessment, the concrete structural freedoms the parallel unit will have. Each liberation is a design requirement: every subsequent design decision in Phases 2 through 6 should demonstrably exploit one or more of these freedoms.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1B4F72" w:val="clear"/>
          </w:tcPr>
          <w:p>
            <w:r/>
            <w:r>
              <w:rPr>
                <w:rFonts w:ascii="Arial" w:hAnsi="Arial"/>
                <w:b/>
                <w:color w:val="FFFFFF"/>
                <w:sz w:val="20"/>
              </w:rPr>
              <w:t>Constraint</w:t>
            </w:r>
          </w:p>
        </w:tc>
        <w:tc>
          <w:tcPr>
            <w:tcW w:type="dxa" w:w="2592"/>
            <w:shd w:fill="1B4F72" w:val="clear"/>
          </w:tcPr>
          <w:p>
            <w:r/>
            <w:r>
              <w:rPr>
                <w:rFonts w:ascii="Arial" w:hAnsi="Arial"/>
                <w:b/>
                <w:color w:val="FFFFFF"/>
                <w:sz w:val="20"/>
              </w:rPr>
              <w:t>Legacy Condition</w:t>
            </w:r>
          </w:p>
        </w:tc>
        <w:tc>
          <w:tcPr>
            <w:tcW w:type="dxa" w:w="2736"/>
            <w:shd w:fill="1B4F72" w:val="clear"/>
          </w:tcPr>
          <w:p>
            <w:r/>
            <w:r>
              <w:rPr>
                <w:rFonts w:ascii="Arial" w:hAnsi="Arial"/>
                <w:b/>
                <w:color w:val="FFFFFF"/>
                <w:sz w:val="20"/>
              </w:rPr>
              <w:t>Parallel Unit Freedom</w:t>
            </w:r>
          </w:p>
        </w:tc>
        <w:tc>
          <w:tcPr>
            <w:tcW w:type="dxa" w:w="2448"/>
            <w:shd w:fill="1B4F72" w:val="clear"/>
          </w:tcPr>
          <w:p>
            <w:r/>
            <w:r>
              <w:rPr>
                <w:rFonts w:ascii="Arial" w:hAnsi="Arial"/>
                <w:b/>
                <w:color w:val="FFFFFF"/>
                <w:sz w:val="20"/>
              </w:rPr>
              <w:t>Design Requirement</w:t>
            </w:r>
          </w:p>
        </w:tc>
      </w:tr>
      <w:tr>
        <w:tc>
          <w:tcPr>
            <w:tcW w:type="dxa" w:w="1584"/>
            <w:shd w:fill="F2F7FA" w:val="clear"/>
          </w:tcPr>
          <w:p>
            <w:r/>
            <w:r>
              <w:rPr>
                <w:rFonts w:ascii="Arial" w:hAnsi="Arial"/>
                <w:b/>
                <w:sz w:val="20"/>
              </w:rPr>
              <w:t>Rigidity</w:t>
            </w:r>
          </w:p>
        </w:tc>
        <w:tc>
          <w:tcPr>
            <w:tcW w:type="dxa" w:w="2592"/>
            <w:shd w:fill="F2F7FA" w:val="clear"/>
          </w:tcPr>
          <w:p>
            <w:r/>
            <w:r>
              <w:rPr>
                <w:rFonts w:ascii="Arial" w:hAnsi="Arial"/>
                <w:sz w:val="20"/>
              </w:rPr>
              <w:t>Capability locked in 312 fixed job codes with static descriptions and single reporting lines. New role creation takes 6–8 weeks.</w:t>
            </w:r>
          </w:p>
        </w:tc>
        <w:tc>
          <w:tcPr>
            <w:tcW w:type="dxa" w:w="2736"/>
            <w:shd w:fill="F2F7FA" w:val="clear"/>
          </w:tcPr>
          <w:p>
            <w:r/>
            <w:r>
              <w:rPr>
                <w:rFonts w:ascii="Arial" w:hAnsi="Arial"/>
                <w:sz w:val="20"/>
              </w:rPr>
              <w:t>Capability deployed fluidly through a role architecture defined by capabilities and contributions, not positions and grades. Team composition changes in days, not months.</w:t>
            </w:r>
          </w:p>
        </w:tc>
        <w:tc>
          <w:tcPr>
            <w:tcW w:type="dxa" w:w="2448"/>
            <w:shd w:fill="F2F7FA" w:val="clear"/>
          </w:tcPr>
          <w:p>
            <w:r/>
            <w:r>
              <w:rPr>
                <w:rFonts w:ascii="Arial" w:hAnsi="Arial"/>
                <w:sz w:val="20"/>
              </w:rPr>
              <w:t>Phase 5 must deliver a capability-based role architecture with no dependency on job codes for staffing decisions.</w:t>
            </w:r>
          </w:p>
        </w:tc>
      </w:tr>
      <w:tr>
        <w:tc>
          <w:tcPr>
            <w:tcW w:type="dxa" w:w="1584"/>
          </w:tcPr>
          <w:p>
            <w:r/>
            <w:r>
              <w:rPr>
                <w:rFonts w:ascii="Arial" w:hAnsi="Arial"/>
                <w:b/>
                <w:sz w:val="20"/>
              </w:rPr>
              <w:t>Latency</w:t>
            </w:r>
          </w:p>
        </w:tc>
        <w:tc>
          <w:tcPr>
            <w:tcW w:type="dxa" w:w="2592"/>
          </w:tcPr>
          <w:p>
            <w:r/>
            <w:r>
              <w:rPr>
                <w:rFonts w:ascii="Arial" w:hAnsi="Arial"/>
                <w:sz w:val="20"/>
              </w:rPr>
              <w:t>Workforce sensing through annual surveys and quarterly HRBP reviews. Signal-to-response gap measured in months.</w:t>
            </w:r>
          </w:p>
        </w:tc>
        <w:tc>
          <w:tcPr>
            <w:tcW w:type="dxa" w:w="2736"/>
          </w:tcPr>
          <w:p>
            <w:r/>
            <w:r>
              <w:rPr>
                <w:rFonts w:ascii="Arial" w:hAnsi="Arial"/>
                <w:sz w:val="20"/>
              </w:rPr>
              <w:t>Continuous signal monitoring through operational data. Truth-state changes detected in days. Response initiated within the operating cycle, not the planning cycle.</w:t>
            </w:r>
          </w:p>
        </w:tc>
        <w:tc>
          <w:tcPr>
            <w:tcW w:type="dxa" w:w="2448"/>
          </w:tcPr>
          <w:p>
            <w:r/>
            <w:r>
              <w:rPr>
                <w:rFonts w:ascii="Arial" w:hAnsi="Arial"/>
                <w:sz w:val="20"/>
              </w:rPr>
              <w:t>Phase 3 must deliver a signal architecture with instrumented, operational signals for all priority outcomes.</w:t>
            </w:r>
          </w:p>
        </w:tc>
      </w:tr>
      <w:tr>
        <w:tc>
          <w:tcPr>
            <w:tcW w:type="dxa" w:w="1584"/>
            <w:shd w:fill="F2F7FA" w:val="clear"/>
          </w:tcPr>
          <w:p>
            <w:r/>
            <w:r>
              <w:rPr>
                <w:rFonts w:ascii="Arial" w:hAnsi="Arial"/>
                <w:b/>
                <w:sz w:val="20"/>
              </w:rPr>
              <w:t>Complexity</w:t>
            </w:r>
          </w:p>
        </w:tc>
        <w:tc>
          <w:tcPr>
            <w:tcW w:type="dxa" w:w="2592"/>
            <w:shd w:fill="F2F7FA" w:val="clear"/>
          </w:tcPr>
          <w:p>
            <w:r/>
            <w:r>
              <w:rPr>
                <w:rFonts w:ascii="Arial" w:hAnsi="Arial"/>
                <w:sz w:val="20"/>
              </w:rPr>
              <w:t>47-step hiring process across 7 systems with 4 approval layers. No single person can navigate end to end.</w:t>
            </w:r>
          </w:p>
        </w:tc>
        <w:tc>
          <w:tcPr>
            <w:tcW w:type="dxa" w:w="2736"/>
            <w:shd w:fill="F2F7FA" w:val="clear"/>
          </w:tcPr>
          <w:p>
            <w:r/>
            <w:r>
              <w:rPr>
                <w:rFonts w:ascii="Arial" w:hAnsi="Arial"/>
                <w:sz w:val="20"/>
              </w:rPr>
              <w:t>Outcome-driven processes designed from first principles. Governance encoded as machine-navigable invariants, not sequential checkpoints.</w:t>
            </w:r>
          </w:p>
        </w:tc>
        <w:tc>
          <w:tcPr>
            <w:tcW w:type="dxa" w:w="2448"/>
            <w:shd w:fill="F2F7FA" w:val="clear"/>
          </w:tcPr>
          <w:p>
            <w:r/>
            <w:r>
              <w:rPr>
                <w:rFonts w:ascii="Arial" w:hAnsi="Arial"/>
                <w:sz w:val="20"/>
              </w:rPr>
              <w:t>Phase 4 must deliver invariant-based governance. Phase 6 must design operating loops that achieve compliance without checkpoint accumulation.</w:t>
            </w:r>
          </w:p>
        </w:tc>
      </w:tr>
      <w:tr>
        <w:tc>
          <w:tcPr>
            <w:tcW w:type="dxa" w:w="1584"/>
          </w:tcPr>
          <w:p>
            <w:r/>
            <w:r>
              <w:rPr>
                <w:rFonts w:ascii="Arial" w:hAnsi="Arial"/>
                <w:b/>
                <w:sz w:val="20"/>
              </w:rPr>
              <w:t>Legibility</w:t>
            </w:r>
          </w:p>
        </w:tc>
        <w:tc>
          <w:tcPr>
            <w:tcW w:type="dxa" w:w="2592"/>
          </w:tcPr>
          <w:p>
            <w:r/>
            <w:r>
              <w:rPr>
                <w:rFonts w:ascii="Arial" w:hAnsi="Arial"/>
                <w:sz w:val="20"/>
              </w:rPr>
              <w:t>Workforce visible only through position-based data model. Cannot answer capability questions. Skills data fragmented across systems.</w:t>
            </w:r>
          </w:p>
        </w:tc>
        <w:tc>
          <w:tcPr>
            <w:tcW w:type="dxa" w:w="2736"/>
          </w:tcPr>
          <w:p>
            <w:r/>
            <w:r>
              <w:rPr>
                <w:rFonts w:ascii="Arial" w:hAnsi="Arial"/>
                <w:sz w:val="20"/>
              </w:rPr>
              <w:t>Capability is a first-class entity in the data model. The unit can see what its workforce can do, not just where people sit in the org chart.</w:t>
            </w:r>
          </w:p>
        </w:tc>
        <w:tc>
          <w:tcPr>
            <w:tcW w:type="dxa" w:w="2448"/>
          </w:tcPr>
          <w:p>
            <w:r/>
            <w:r>
              <w:rPr>
                <w:rFonts w:ascii="Arial" w:hAnsi="Arial"/>
                <w:sz w:val="20"/>
              </w:rPr>
              <w:t>Phase 3 must include capability-as-signal in the signal architecture. Phase 4 must design data structures that make capability queryable.</w:t>
            </w:r>
          </w:p>
        </w:tc>
      </w:tr>
      <w:tr>
        <w:tc>
          <w:tcPr>
            <w:tcW w:type="dxa" w:w="1584"/>
            <w:shd w:fill="F2F7FA" w:val="clear"/>
          </w:tcPr>
          <w:p>
            <w:r/>
            <w:r>
              <w:rPr>
                <w:rFonts w:ascii="Arial" w:hAnsi="Arial"/>
                <w:b/>
                <w:sz w:val="20"/>
              </w:rPr>
              <w:t>Agency</w:t>
            </w:r>
          </w:p>
        </w:tc>
        <w:tc>
          <w:tcPr>
            <w:tcW w:type="dxa" w:w="2592"/>
            <w:shd w:fill="F2F7FA" w:val="clear"/>
          </w:tcPr>
          <w:p>
            <w:r/>
            <w:r>
              <w:rPr>
                <w:rFonts w:ascii="Arial" w:hAnsi="Arial"/>
                <w:sz w:val="20"/>
              </w:rPr>
              <w:t>Decision authority concentrated in COEs and senior HRBPs. Frontline managers have limited agency. HRBP intermediation introduces delay.</w:t>
            </w:r>
          </w:p>
        </w:tc>
        <w:tc>
          <w:tcPr>
            <w:tcW w:type="dxa" w:w="2736"/>
            <w:shd w:fill="F2F7FA" w:val="clear"/>
          </w:tcPr>
          <w:p>
            <w:r/>
            <w:r>
              <w:rPr>
                <w:rFonts w:ascii="Arial" w:hAnsi="Arial"/>
                <w:sz w:val="20"/>
              </w:rPr>
              <w:t>Outcome Owners have direct authority over workforce decisions within their domains. Decision rights are explicit and lateral. No intermediation layer.</w:t>
            </w:r>
          </w:p>
        </w:tc>
        <w:tc>
          <w:tcPr>
            <w:tcW w:type="dxa" w:w="2448"/>
            <w:shd w:fill="F2F7FA" w:val="clear"/>
          </w:tcPr>
          <w:p>
            <w:r/>
            <w:r>
              <w:rPr>
                <w:rFonts w:ascii="Arial" w:hAnsi="Arial"/>
                <w:sz w:val="20"/>
              </w:rPr>
              <w:t>Phase 5 must deliver an authority architecture with explicit lateral decision rights for Outcome Owners.</w:t>
            </w:r>
          </w:p>
        </w:tc>
      </w:tr>
    </w:tbl>
    <w:p/>
    <w:p>
      <w:pPr>
        <w:spacing w:after="160"/>
      </w:pPr>
      <w:r>
        <w:rPr>
          <w:rFonts w:ascii="Arial" w:hAnsi="Arial"/>
          <w:sz w:val="22"/>
        </w:rPr>
        <w:t>This map is not aspirational. Each freedom in the center column is a concrete structural condition that the parallel unit’s design must deliver. If a design decision in a subsequent phase does not exploit at least one of these freedoms—or worse, reintroduces a constraint the unit was designed to escape—it should be challenged and revised.</w:t>
      </w:r>
    </w:p>
    <w:p>
      <w:r>
        <w:br w:type="page"/>
      </w:r>
    </w:p>
    <w:p>
      <w:pPr>
        <w:pStyle w:val="Heading1"/>
      </w:pPr>
      <w:r>
        <w:t>Deliverable 1.4: Readiness and Risk Profile</w:t>
      </w:r>
    </w:p>
    <w:p>
      <w:pPr>
        <w:pStyle w:val="Heading2"/>
      </w:pPr>
      <w:r>
        <w:t>Organizational Readiness Assessment</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r/>
            <w:r>
              <w:rPr>
                <w:rFonts w:ascii="Arial" w:hAnsi="Arial"/>
                <w:b/>
                <w:color w:val="FFFFFF"/>
                <w:sz w:val="20"/>
              </w:rPr>
              <w:t>Readiness Dimension</w:t>
            </w:r>
          </w:p>
        </w:tc>
        <w:tc>
          <w:tcPr>
            <w:tcW w:type="dxa" w:w="1152"/>
            <w:shd w:fill="1B4F72" w:val="clear"/>
          </w:tcPr>
          <w:p>
            <w:r/>
            <w:r>
              <w:rPr>
                <w:rFonts w:ascii="Arial" w:hAnsi="Arial"/>
                <w:b/>
                <w:color w:val="FFFFFF"/>
                <w:sz w:val="20"/>
              </w:rPr>
              <w:t>Rating</w:t>
            </w:r>
          </w:p>
        </w:tc>
        <w:tc>
          <w:tcPr>
            <w:tcW w:type="dxa" w:w="6048"/>
            <w:shd w:fill="1B4F72" w:val="clear"/>
          </w:tcPr>
          <w:p>
            <w:r/>
            <w:r>
              <w:rPr>
                <w:rFonts w:ascii="Arial" w:hAnsi="Arial"/>
                <w:b/>
                <w:color w:val="FFFFFF"/>
                <w:sz w:val="20"/>
              </w:rPr>
              <w:t>Assessment</w:t>
            </w:r>
          </w:p>
        </w:tc>
      </w:tr>
      <w:tr>
        <w:tc>
          <w:tcPr>
            <w:tcW w:type="dxa" w:w="2160"/>
            <w:shd w:fill="F2F7FA" w:val="clear"/>
          </w:tcPr>
          <w:p>
            <w:r/>
            <w:r>
              <w:rPr>
                <w:rFonts w:ascii="Arial" w:hAnsi="Arial"/>
                <w:b/>
                <w:sz w:val="20"/>
              </w:rPr>
              <w:t>Executive Commitment</w:t>
            </w:r>
          </w:p>
        </w:tc>
        <w:tc>
          <w:tcPr>
            <w:tcW w:type="dxa" w:w="1152"/>
            <w:shd w:fill="F2F7FA" w:val="clear"/>
          </w:tcPr>
          <w:p>
            <w:r/>
            <w:r>
              <w:rPr>
                <w:rFonts w:ascii="Arial" w:hAnsi="Arial"/>
                <w:sz w:val="20"/>
              </w:rPr>
              <w:t>Strong</w:t>
            </w:r>
          </w:p>
        </w:tc>
        <w:tc>
          <w:tcPr>
            <w:tcW w:type="dxa" w:w="6048"/>
            <w:shd w:fill="F2F7FA" w:val="clear"/>
          </w:tcPr>
          <w:p>
            <w:r/>
            <w:r>
              <w:rPr>
                <w:rFonts w:ascii="Arial" w:hAnsi="Arial"/>
                <w:sz w:val="20"/>
              </w:rPr>
              <w:t>CPO Rachel Torres is a committed sponsor with direct CEO support. The steering committee (CTO, CFO, Head of Digital Advisory) has approved a 24-month funding commitment. The CEO has publicly framed the Digital Advisory Division as a strategic priority in two recent all-hands meetings.</w:t>
            </w:r>
          </w:p>
        </w:tc>
      </w:tr>
      <w:tr>
        <w:tc>
          <w:tcPr>
            <w:tcW w:type="dxa" w:w="2160"/>
          </w:tcPr>
          <w:p>
            <w:r/>
            <w:r>
              <w:rPr>
                <w:rFonts w:ascii="Arial" w:hAnsi="Arial"/>
                <w:b/>
                <w:sz w:val="20"/>
              </w:rPr>
              <w:t>Resource Availability</w:t>
            </w:r>
          </w:p>
        </w:tc>
        <w:tc>
          <w:tcPr>
            <w:tcW w:type="dxa" w:w="1152"/>
          </w:tcPr>
          <w:p>
            <w:r/>
            <w:r>
              <w:rPr>
                <w:rFonts w:ascii="Arial" w:hAnsi="Arial"/>
                <w:sz w:val="20"/>
              </w:rPr>
              <w:t>Moderate</w:t>
            </w:r>
          </w:p>
        </w:tc>
        <w:tc>
          <w:tcPr>
            <w:tcW w:type="dxa" w:w="6048"/>
          </w:tcPr>
          <w:p>
            <w:r/>
            <w:r>
              <w:rPr>
                <w:rFonts w:ascii="Arial" w:hAnsi="Arial"/>
                <w:sz w:val="20"/>
              </w:rPr>
              <w:t>Budget of $4.2M allocated for Year 1 (people operations build). Technology budget separate under CTO. 6 HR professionals identified for transfer to the parallel unit, but 3 of the 6 lack AI fluency. External hiring for 2 specialized roles approved but not yet sourced.</w:t>
            </w:r>
          </w:p>
        </w:tc>
      </w:tr>
      <w:tr>
        <w:tc>
          <w:tcPr>
            <w:tcW w:type="dxa" w:w="2160"/>
            <w:shd w:fill="F2F7FA" w:val="clear"/>
          </w:tcPr>
          <w:p>
            <w:r/>
            <w:r>
              <w:rPr>
                <w:rFonts w:ascii="Arial" w:hAnsi="Arial"/>
                <w:b/>
                <w:sz w:val="20"/>
              </w:rPr>
              <w:t>Political Landscape</w:t>
            </w:r>
          </w:p>
        </w:tc>
        <w:tc>
          <w:tcPr>
            <w:tcW w:type="dxa" w:w="1152"/>
            <w:shd w:fill="F2F7FA" w:val="clear"/>
          </w:tcPr>
          <w:p>
            <w:r/>
            <w:r>
              <w:rPr>
                <w:rFonts w:ascii="Arial" w:hAnsi="Arial"/>
                <w:sz w:val="20"/>
              </w:rPr>
              <w:t>Mixed</w:t>
            </w:r>
          </w:p>
        </w:tc>
        <w:tc>
          <w:tcPr>
            <w:tcW w:type="dxa" w:w="6048"/>
            <w:shd w:fill="F2F7FA" w:val="clear"/>
          </w:tcPr>
          <w:p>
            <w:r/>
            <w:r>
              <w:rPr>
                <w:rFonts w:ascii="Arial" w:hAnsi="Arial"/>
                <w:sz w:val="20"/>
              </w:rPr>
              <w:t>Strong support from Digital Advisory leadership and the Technology division. Neutral to cautious from traditional advisory leadership. Active resistance anticipated from Head of Talent Acquisition and Head of Total Rewards, who perceive the parallel unit as a judgment on their functions.</w:t>
            </w:r>
          </w:p>
        </w:tc>
      </w:tr>
      <w:tr>
        <w:tc>
          <w:tcPr>
            <w:tcW w:type="dxa" w:w="2160"/>
          </w:tcPr>
          <w:p>
            <w:r/>
            <w:r>
              <w:rPr>
                <w:rFonts w:ascii="Arial" w:hAnsi="Arial"/>
                <w:b/>
                <w:sz w:val="20"/>
              </w:rPr>
              <w:t>Technology Readiness</w:t>
            </w:r>
          </w:p>
        </w:tc>
        <w:tc>
          <w:tcPr>
            <w:tcW w:type="dxa" w:w="1152"/>
          </w:tcPr>
          <w:p>
            <w:r/>
            <w:r>
              <w:rPr>
                <w:rFonts w:ascii="Arial" w:hAnsi="Arial"/>
                <w:sz w:val="20"/>
              </w:rPr>
              <w:t>Moderate</w:t>
            </w:r>
          </w:p>
        </w:tc>
        <w:tc>
          <w:tcPr>
            <w:tcW w:type="dxa" w:w="6048"/>
          </w:tcPr>
          <w:p>
            <w:r/>
            <w:r>
              <w:rPr>
                <w:rFonts w:ascii="Arial" w:hAnsi="Arial"/>
                <w:sz w:val="20"/>
              </w:rPr>
              <w:t>Workday is stable but configured for position-based model only. CTO willing to support a lightweight capability data layer. Data science team has capacity for signal architecture development but no HR domain expertise. No existing AI monitoring infrastructure.</w:t>
            </w:r>
          </w:p>
        </w:tc>
      </w:tr>
      <w:tr>
        <w:tc>
          <w:tcPr>
            <w:tcW w:type="dxa" w:w="2160"/>
            <w:shd w:fill="F2F7FA" w:val="clear"/>
          </w:tcPr>
          <w:p>
            <w:r/>
            <w:r>
              <w:rPr>
                <w:rFonts w:ascii="Arial" w:hAnsi="Arial"/>
                <w:b/>
                <w:sz w:val="20"/>
              </w:rPr>
              <w:t>Cultural Readiness</w:t>
            </w:r>
          </w:p>
        </w:tc>
        <w:tc>
          <w:tcPr>
            <w:tcW w:type="dxa" w:w="1152"/>
            <w:shd w:fill="F2F7FA" w:val="clear"/>
          </w:tcPr>
          <w:p>
            <w:r/>
            <w:r>
              <w:rPr>
                <w:rFonts w:ascii="Arial" w:hAnsi="Arial"/>
                <w:sz w:val="20"/>
              </w:rPr>
              <w:t>Variable</w:t>
            </w:r>
          </w:p>
        </w:tc>
        <w:tc>
          <w:tcPr>
            <w:tcW w:type="dxa" w:w="6048"/>
            <w:shd w:fill="F2F7FA" w:val="clear"/>
          </w:tcPr>
          <w:p>
            <w:r/>
            <w:r>
              <w:rPr>
                <w:rFonts w:ascii="Arial" w:hAnsi="Arial"/>
                <w:sz w:val="20"/>
              </w:rPr>
              <w:t>Digital Advisory workforce skews younger (median age 34) and technology-comfortable. However, employees transferring from legacy advisory bring expectations shaped by hierarchical management and annual review cycles. Significant onboarding investment needed.</w:t>
            </w:r>
          </w:p>
        </w:tc>
      </w:tr>
    </w:tbl>
    <w:p/>
    <w:p>
      <w:pPr>
        <w:pStyle w:val="Heading2"/>
      </w:pPr>
      <w:r>
        <w:t>Risk Profile</w:t>
      </w:r>
    </w:p>
    <w:p>
      <w:pPr>
        <w:spacing w:after="160"/>
      </w:pPr>
      <w:r>
        <w:rPr>
          <w:rFonts w:ascii="Arial" w:hAnsi="Arial"/>
          <w:sz w:val="22"/>
        </w:rPr>
        <w:t>The following risks are specific to the parallel build approach. Each risk includes an assessment of likelihood and impact, and a mitigation strategy to be addressed in subsequent phases.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B4F72" w:val="clear"/>
          </w:tcPr>
          <w:p>
            <w:r/>
            <w:r>
              <w:rPr>
                <w:rFonts w:ascii="Arial" w:hAnsi="Arial"/>
                <w:b/>
                <w:color w:val="FFFFFF"/>
                <w:sz w:val="20"/>
              </w:rPr>
              <w:t>Risk</w:t>
            </w:r>
          </w:p>
        </w:tc>
        <w:tc>
          <w:tcPr>
            <w:tcW w:type="dxa" w:w="1152"/>
            <w:shd w:fill="1B4F72" w:val="clear"/>
          </w:tcPr>
          <w:p>
            <w:r/>
            <w:r>
              <w:rPr>
                <w:rFonts w:ascii="Arial" w:hAnsi="Arial"/>
                <w:b/>
                <w:color w:val="FFFFFF"/>
                <w:sz w:val="20"/>
              </w:rPr>
              <w:t>Likelihood</w:t>
            </w:r>
          </w:p>
        </w:tc>
        <w:tc>
          <w:tcPr>
            <w:tcW w:type="dxa" w:w="1008"/>
            <w:shd w:fill="1B4F72" w:val="clear"/>
          </w:tcPr>
          <w:p>
            <w:r/>
            <w:r>
              <w:rPr>
                <w:rFonts w:ascii="Arial" w:hAnsi="Arial"/>
                <w:b/>
                <w:color w:val="FFFFFF"/>
                <w:sz w:val="20"/>
              </w:rPr>
              <w:t>Impact</w:t>
            </w:r>
          </w:p>
        </w:tc>
        <w:tc>
          <w:tcPr>
            <w:tcW w:type="dxa" w:w="5328"/>
            <w:shd w:fill="1B4F72" w:val="clear"/>
          </w:tcPr>
          <w:p>
            <w:r/>
            <w:r>
              <w:rPr>
                <w:rFonts w:ascii="Arial" w:hAnsi="Arial"/>
                <w:b/>
                <w:color w:val="FFFFFF"/>
                <w:sz w:val="20"/>
              </w:rPr>
              <w:t>Mitigation Strategy</w:t>
            </w:r>
          </w:p>
        </w:tc>
      </w:tr>
      <w:tr>
        <w:tc>
          <w:tcPr>
            <w:tcW w:type="dxa" w:w="1872"/>
            <w:shd w:fill="F2F7FA" w:val="clear"/>
          </w:tcPr>
          <w:p>
            <w:r/>
            <w:r>
              <w:rPr>
                <w:rFonts w:ascii="Arial" w:hAnsi="Arial"/>
                <w:b/>
                <w:sz w:val="20"/>
              </w:rPr>
              <w:t>Resource Starvation</w:t>
            </w:r>
          </w:p>
        </w:tc>
        <w:tc>
          <w:tcPr>
            <w:tcW w:type="dxa" w:w="1152"/>
            <w:shd w:fill="F2F7FA" w:val="clear"/>
          </w:tcPr>
          <w:p>
            <w:r/>
            <w:r>
              <w:rPr>
                <w:rFonts w:ascii="Arial" w:hAnsi="Arial"/>
                <w:sz w:val="20"/>
              </w:rPr>
              <w:t>Medium</w:t>
            </w:r>
          </w:p>
        </w:tc>
        <w:tc>
          <w:tcPr>
            <w:tcW w:type="dxa" w:w="1008"/>
            <w:shd w:fill="F2F7FA" w:val="clear"/>
          </w:tcPr>
          <w:p>
            <w:r/>
            <w:r>
              <w:rPr>
                <w:rFonts w:ascii="Arial" w:hAnsi="Arial"/>
                <w:sz w:val="20"/>
              </w:rPr>
              <w:t>High</w:t>
            </w:r>
          </w:p>
        </w:tc>
        <w:tc>
          <w:tcPr>
            <w:tcW w:type="dxa" w:w="5328"/>
            <w:shd w:fill="F2F7FA" w:val="clear"/>
          </w:tcPr>
          <w:p>
            <w:r/>
            <w:r>
              <w:rPr>
                <w:rFonts w:ascii="Arial" w:hAnsi="Arial"/>
                <w:sz w:val="20"/>
              </w:rPr>
              <w:t>The parallel unit’s budget could be redirected if the legacy organization faces financial pressure. Mitigation: secure ring-fenced budget with board-level approval; establish measurable milestones that justify continued investment (Phase 8). Build the measurement framework to demonstrate ROI within 12 months.</w:t>
            </w:r>
          </w:p>
        </w:tc>
      </w:tr>
      <w:tr>
        <w:tc>
          <w:tcPr>
            <w:tcW w:type="dxa" w:w="1872"/>
          </w:tcPr>
          <w:p>
            <w:r/>
            <w:r>
              <w:rPr>
                <w:rFonts w:ascii="Arial" w:hAnsi="Arial"/>
                <w:b/>
                <w:sz w:val="20"/>
              </w:rPr>
              <w:t>Legacy Leadership Undermining</w:t>
            </w:r>
          </w:p>
        </w:tc>
        <w:tc>
          <w:tcPr>
            <w:tcW w:type="dxa" w:w="1152"/>
          </w:tcPr>
          <w:p>
            <w:r/>
            <w:r>
              <w:rPr>
                <w:rFonts w:ascii="Arial" w:hAnsi="Arial"/>
                <w:sz w:val="20"/>
              </w:rPr>
              <w:t>Medium</w:t>
            </w:r>
          </w:p>
        </w:tc>
        <w:tc>
          <w:tcPr>
            <w:tcW w:type="dxa" w:w="1008"/>
          </w:tcPr>
          <w:p>
            <w:r/>
            <w:r>
              <w:rPr>
                <w:rFonts w:ascii="Arial" w:hAnsi="Arial"/>
                <w:sz w:val="20"/>
              </w:rPr>
              <w:t>High</w:t>
            </w:r>
          </w:p>
        </w:tc>
        <w:tc>
          <w:tcPr>
            <w:tcW w:type="dxa" w:w="5328"/>
          </w:tcPr>
          <w:p>
            <w:r/>
            <w:r>
              <w:rPr>
                <w:rFonts w:ascii="Arial" w:hAnsi="Arial"/>
                <w:sz w:val="20"/>
              </w:rPr>
              <w:t>COE leaders who perceive the unit as a threat may withhold cooperation, slow-walk shared services, or lobby to constrain the unit’s autonomy. Mitigation: frame the parallel unit as a complement, not a replacement. Involve resistant COE leaders in the steering committee as advisory members. Share early wins as organizational wins.</w:t>
            </w:r>
          </w:p>
        </w:tc>
      </w:tr>
      <w:tr>
        <w:tc>
          <w:tcPr>
            <w:tcW w:type="dxa" w:w="1872"/>
            <w:shd w:fill="F2F7FA" w:val="clear"/>
          </w:tcPr>
          <w:p>
            <w:r/>
            <w:r>
              <w:rPr>
                <w:rFonts w:ascii="Arial" w:hAnsi="Arial"/>
                <w:b/>
                <w:sz w:val="20"/>
              </w:rPr>
              <w:t>Forced Legacy Constraints</w:t>
            </w:r>
          </w:p>
        </w:tc>
        <w:tc>
          <w:tcPr>
            <w:tcW w:type="dxa" w:w="1152"/>
            <w:shd w:fill="F2F7FA" w:val="clear"/>
          </w:tcPr>
          <w:p>
            <w:r/>
            <w:r>
              <w:rPr>
                <w:rFonts w:ascii="Arial" w:hAnsi="Arial"/>
                <w:sz w:val="20"/>
              </w:rPr>
              <w:t>High</w:t>
            </w:r>
          </w:p>
        </w:tc>
        <w:tc>
          <w:tcPr>
            <w:tcW w:type="dxa" w:w="1008"/>
            <w:shd w:fill="F2F7FA" w:val="clear"/>
          </w:tcPr>
          <w:p>
            <w:r/>
            <w:r>
              <w:rPr>
                <w:rFonts w:ascii="Arial" w:hAnsi="Arial"/>
                <w:sz w:val="20"/>
              </w:rPr>
              <w:t>Critical</w:t>
            </w:r>
          </w:p>
        </w:tc>
        <w:tc>
          <w:tcPr>
            <w:tcW w:type="dxa" w:w="5328"/>
            <w:shd w:fill="F2F7FA" w:val="clear"/>
          </w:tcPr>
          <w:p>
            <w:r/>
            <w:r>
              <w:rPr>
                <w:rFonts w:ascii="Arial" w:hAnsi="Arial"/>
                <w:sz w:val="20"/>
              </w:rPr>
              <w:t>Enterprise governance, legal, or IT may require the unit to use legacy processes that undermine the AI-native design. Mitigation: the Constraint Liberation Map (1.3) is the unit’s design charter. Any request to adopt a legacy constraint must be evaluated against this map. Implement equivalent outcomes through AI-native means, not by adopting the legacy mechanism.</w:t>
            </w:r>
          </w:p>
        </w:tc>
      </w:tr>
      <w:tr>
        <w:tc>
          <w:tcPr>
            <w:tcW w:type="dxa" w:w="1872"/>
          </w:tcPr>
          <w:p>
            <w:r/>
            <w:r>
              <w:rPr>
                <w:rFonts w:ascii="Arial" w:hAnsi="Arial"/>
                <w:b/>
                <w:sz w:val="20"/>
              </w:rPr>
              <w:t>Talent Poaching Perception</w:t>
            </w:r>
          </w:p>
        </w:tc>
        <w:tc>
          <w:tcPr>
            <w:tcW w:type="dxa" w:w="1152"/>
          </w:tcPr>
          <w:p>
            <w:r/>
            <w:r>
              <w:rPr>
                <w:rFonts w:ascii="Arial" w:hAnsi="Arial"/>
                <w:sz w:val="20"/>
              </w:rPr>
              <w:t>High</w:t>
            </w:r>
          </w:p>
        </w:tc>
        <w:tc>
          <w:tcPr>
            <w:tcW w:type="dxa" w:w="1008"/>
          </w:tcPr>
          <w:p>
            <w:r/>
            <w:r>
              <w:rPr>
                <w:rFonts w:ascii="Arial" w:hAnsi="Arial"/>
                <w:sz w:val="20"/>
              </w:rPr>
              <w:t>Medium</w:t>
            </w:r>
          </w:p>
        </w:tc>
        <w:tc>
          <w:tcPr>
            <w:tcW w:type="dxa" w:w="5328"/>
          </w:tcPr>
          <w:p>
            <w:r/>
            <w:r>
              <w:rPr>
                <w:rFonts w:ascii="Arial" w:hAnsi="Arial"/>
                <w:sz w:val="20"/>
              </w:rPr>
              <w:t>Staffing the parallel unit with high performers from legacy will create resentment. Mitigation: balance internal transfers with external hires. Position transfers as voluntary developmental opportunities, not rescues from the legacy model.</w:t>
            </w:r>
          </w:p>
        </w:tc>
      </w:tr>
      <w:tr>
        <w:tc>
          <w:tcPr>
            <w:tcW w:type="dxa" w:w="1872"/>
            <w:shd w:fill="F2F7FA" w:val="clear"/>
          </w:tcPr>
          <w:p>
            <w:r/>
            <w:r>
              <w:rPr>
                <w:rFonts w:ascii="Arial" w:hAnsi="Arial"/>
                <w:b/>
                <w:sz w:val="20"/>
              </w:rPr>
              <w:t>Coexistence Friction</w:t>
            </w:r>
          </w:p>
        </w:tc>
        <w:tc>
          <w:tcPr>
            <w:tcW w:type="dxa" w:w="1152"/>
            <w:shd w:fill="F2F7FA" w:val="clear"/>
          </w:tcPr>
          <w:p>
            <w:r/>
            <w:r>
              <w:rPr>
                <w:rFonts w:ascii="Arial" w:hAnsi="Arial"/>
                <w:sz w:val="20"/>
              </w:rPr>
              <w:t>High</w:t>
            </w:r>
          </w:p>
        </w:tc>
        <w:tc>
          <w:tcPr>
            <w:tcW w:type="dxa" w:w="1008"/>
            <w:shd w:fill="F2F7FA" w:val="clear"/>
          </w:tcPr>
          <w:p>
            <w:r/>
            <w:r>
              <w:rPr>
                <w:rFonts w:ascii="Arial" w:hAnsi="Arial"/>
                <w:sz w:val="20"/>
              </w:rPr>
              <w:t>Medium</w:t>
            </w:r>
          </w:p>
        </w:tc>
        <w:tc>
          <w:tcPr>
            <w:tcW w:type="dxa" w:w="5328"/>
            <w:shd w:fill="F2F7FA" w:val="clear"/>
          </w:tcPr>
          <w:p>
            <w:r/>
            <w:r>
              <w:rPr>
                <w:rFonts w:ascii="Arial" w:hAnsi="Arial"/>
                <w:sz w:val="20"/>
              </w:rPr>
              <w:t>The 12 shared compliance specialists and shared Workday platform create daily friction points. Mitigation: the Coexistence Architecture (Phase 7) must specify detailed bridging mechanisms for each integration point identified in Deliverable 1.2.</w:t>
            </w:r>
          </w:p>
        </w:tc>
      </w:tr>
      <w:tr>
        <w:tc>
          <w:tcPr>
            <w:tcW w:type="dxa" w:w="1872"/>
          </w:tcPr>
          <w:p>
            <w:r/>
            <w:r>
              <w:rPr>
                <w:rFonts w:ascii="Arial" w:hAnsi="Arial"/>
                <w:b/>
                <w:sz w:val="20"/>
              </w:rPr>
              <w:t>Premature Scaling</w:t>
            </w:r>
          </w:p>
        </w:tc>
        <w:tc>
          <w:tcPr>
            <w:tcW w:type="dxa" w:w="1152"/>
          </w:tcPr>
          <w:p>
            <w:r/>
            <w:r>
              <w:rPr>
                <w:rFonts w:ascii="Arial" w:hAnsi="Arial"/>
                <w:sz w:val="20"/>
              </w:rPr>
              <w:t>Low</w:t>
            </w:r>
          </w:p>
        </w:tc>
        <w:tc>
          <w:tcPr>
            <w:tcW w:type="dxa" w:w="1008"/>
          </w:tcPr>
          <w:p>
            <w:r/>
            <w:r>
              <w:rPr>
                <w:rFonts w:ascii="Arial" w:hAnsi="Arial"/>
                <w:sz w:val="20"/>
              </w:rPr>
              <w:t>High</w:t>
            </w:r>
          </w:p>
        </w:tc>
        <w:tc>
          <w:tcPr>
            <w:tcW w:type="dxa" w:w="5328"/>
          </w:tcPr>
          <w:p>
            <w:r/>
            <w:r>
              <w:rPr>
                <w:rFonts w:ascii="Arial" w:hAnsi="Arial"/>
                <w:sz w:val="20"/>
              </w:rPr>
              <w:t>Executive enthusiasm may push absorption before operating maturity. Mitigation: the Absorption Roadmap (Phase 7) must include strict readiness criteria. No absorption occurs until Stage Three demonstration milestones are met.</w:t>
            </w:r>
          </w:p>
        </w:tc>
      </w:tr>
    </w:tbl>
    <w:p/>
    <w:p>
      <w:pPr>
        <w:spacing w:after="160"/>
      </w:pPr>
      <w:r>
        <w:rPr>
          <w:rFonts w:ascii="Arial" w:hAnsi="Arial"/>
          <w:sz w:val="22"/>
        </w:rPr>
        <w:t>The overall readiness assessment indicates that Meridian Wealth Partners is positioned to proceed with the parallel build, with executive sponsorship and strategic clarity as primary strengths. The principal risks center on political dynamics and the danger of legacy constraints being imposed on the new unit. These risks are manageable but require active, sustained leadership attention throughout the dual-operating period.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86C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