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087458" w14:textId="2A697104" w:rsidR="00B62D58" w:rsidRDefault="00FC281F" w:rsidP="00BD4DC2">
      <w:pPr>
        <w:pStyle w:val="Title"/>
        <w:rPr>
          <w:rFonts w:ascii="Arial" w:hAnsi="Arial"/>
          <w:sz w:val="32"/>
          <w:szCs w:val="32"/>
        </w:rPr>
      </w:pPr>
      <w:r>
        <w:rPr>
          <w:rFonts w:ascii="Arial" w:hAnsi="Arial"/>
          <w:sz w:val="32"/>
          <w:szCs w:val="32"/>
        </w:rPr>
        <w:t>World Ranking</w:t>
      </w:r>
      <w:r w:rsidR="00CC64A0">
        <w:rPr>
          <w:rFonts w:ascii="Arial" w:hAnsi="Arial"/>
          <w:sz w:val="32"/>
          <w:szCs w:val="32"/>
        </w:rPr>
        <w:t>s</w:t>
      </w:r>
      <w:r>
        <w:rPr>
          <w:rFonts w:ascii="Arial" w:hAnsi="Arial"/>
          <w:sz w:val="32"/>
          <w:szCs w:val="32"/>
        </w:rPr>
        <w:t xml:space="preserve"> </w:t>
      </w:r>
      <w:r w:rsidR="002B7E71">
        <w:rPr>
          <w:rFonts w:ascii="Arial" w:hAnsi="Arial"/>
          <w:sz w:val="32"/>
          <w:szCs w:val="32"/>
        </w:rPr>
        <w:t>for Universities</w:t>
      </w:r>
    </w:p>
    <w:p w14:paraId="37FF5C7A" w14:textId="00469224" w:rsidR="00CF7B4B" w:rsidRPr="00CF7B4B" w:rsidRDefault="00B411D6" w:rsidP="00CF7B4B">
      <w:r>
        <w:t>James Tsai – Spring 2016</w:t>
      </w:r>
      <w:r w:rsidR="008A34F6">
        <w:t>, MSDS6372 – Experimental Statistics II</w:t>
      </w:r>
    </w:p>
    <w:p w14:paraId="1CDFD3B2" w14:textId="60EF1F01" w:rsidR="00516196" w:rsidRDefault="00516196" w:rsidP="00516196">
      <w:pPr>
        <w:pStyle w:val="Heading1"/>
        <w:rPr>
          <w:rFonts w:ascii="Arial" w:hAnsi="Arial"/>
          <w:sz w:val="22"/>
          <w:szCs w:val="22"/>
          <w:u w:val="single"/>
        </w:rPr>
      </w:pPr>
      <w:r>
        <w:rPr>
          <w:rFonts w:ascii="Arial" w:hAnsi="Arial"/>
          <w:sz w:val="22"/>
          <w:szCs w:val="22"/>
          <w:u w:val="single"/>
        </w:rPr>
        <w:t>Introduction</w:t>
      </w:r>
    </w:p>
    <w:p w14:paraId="5CC10B04" w14:textId="60A1F682" w:rsidR="002B7E71" w:rsidRPr="002B7E71" w:rsidRDefault="00C05A81" w:rsidP="002B7E71">
      <w:r>
        <w:t xml:space="preserve">From sports to education, there is a fascination with rankings. There is a desire for one’s favorite team to be the best, and for every parent to want their child to attend the very best college or university. </w:t>
      </w:r>
      <w:r w:rsidR="00833C0A">
        <w:t>While sports teams compete on the playing field to determine which team is better, it is not so clear-cut when it comes to ranking universities. The size and purpose of institutions and the methodologies used to rank them is a hotly debated issue.</w:t>
      </w:r>
      <w:r w:rsidR="007E0C1F">
        <w:t xml:space="preserve"> Unfortun</w:t>
      </w:r>
      <w:r w:rsidR="00131E8F">
        <w:t>ately, despite the subjectivity</w:t>
      </w:r>
      <w:r w:rsidR="007937FF">
        <w:t xml:space="preserve"> of these methodologies</w:t>
      </w:r>
      <w:r w:rsidR="00131E8F">
        <w:t>, the appeal of university ranking publications has become more influential across the globe as students have become ever more mobile and are looking far beyond their borders. For universities, having a good reputation translates to money in the form of more applications, more tuition dollars, and greater levels of alumni giving.</w:t>
      </w:r>
    </w:p>
    <w:p w14:paraId="187CDD12" w14:textId="26AB37ED" w:rsidR="0025275F" w:rsidRDefault="0025275F" w:rsidP="004B017B">
      <w:pPr>
        <w:pStyle w:val="Heading1"/>
        <w:rPr>
          <w:rFonts w:ascii="Arial" w:hAnsi="Arial"/>
          <w:sz w:val="22"/>
          <w:szCs w:val="22"/>
          <w:u w:val="single"/>
        </w:rPr>
      </w:pPr>
      <w:r w:rsidRPr="00A37FF2">
        <w:rPr>
          <w:rFonts w:ascii="Arial" w:hAnsi="Arial"/>
          <w:sz w:val="22"/>
          <w:szCs w:val="22"/>
          <w:u w:val="single"/>
        </w:rPr>
        <w:t>Problem Statement</w:t>
      </w:r>
    </w:p>
    <w:p w14:paraId="6B5908F6" w14:textId="3063943B" w:rsidR="00833C0A" w:rsidRPr="00833C0A" w:rsidRDefault="00954AB5" w:rsidP="00952C2C">
      <w:r>
        <w:t xml:space="preserve">The purpose of the study is to </w:t>
      </w:r>
      <w:r w:rsidR="000C7AE8">
        <w:t xml:space="preserve">take one of the most influential and observed university measures, </w:t>
      </w:r>
      <w:r>
        <w:t>The Times Higher Education World University Ranking</w:t>
      </w:r>
      <w:r w:rsidR="000C7AE8">
        <w:t xml:space="preserve"> for 2016, and </w:t>
      </w:r>
      <w:r w:rsidR="00584A6C">
        <w:t>determine whether</w:t>
      </w:r>
      <w:r w:rsidR="00A47937">
        <w:t xml:space="preserve"> any of the nine </w:t>
      </w:r>
      <w:r w:rsidR="00952C2C">
        <w:t>available</w:t>
      </w:r>
      <w:r w:rsidR="00A47937">
        <w:t xml:space="preserve"> </w:t>
      </w:r>
      <w:r w:rsidR="00952C2C">
        <w:t>variables</w:t>
      </w:r>
      <w:r w:rsidR="00A47937">
        <w:t xml:space="preserve"> </w:t>
      </w:r>
      <w:r w:rsidR="00952C2C">
        <w:t xml:space="preserve">has the greatest influence on the total score. Understanding these variables may also give us some insight into the </w:t>
      </w:r>
      <w:r w:rsidR="00F72EFD">
        <w:t>nature of the ranking methodology and whether specific criticisms levied against the ranking system are justified.</w:t>
      </w:r>
    </w:p>
    <w:p w14:paraId="051A54DB" w14:textId="34950A18" w:rsidR="0025275F" w:rsidRDefault="0025275F" w:rsidP="004B017B">
      <w:pPr>
        <w:pStyle w:val="Heading1"/>
        <w:rPr>
          <w:rFonts w:ascii="Arial" w:hAnsi="Arial"/>
          <w:sz w:val="22"/>
          <w:szCs w:val="22"/>
          <w:u w:val="single"/>
        </w:rPr>
      </w:pPr>
      <w:r w:rsidRPr="00A37FF2">
        <w:rPr>
          <w:rFonts w:ascii="Arial" w:hAnsi="Arial"/>
          <w:sz w:val="22"/>
          <w:szCs w:val="22"/>
          <w:u w:val="single"/>
        </w:rPr>
        <w:t>Constraints and Limitations</w:t>
      </w:r>
    </w:p>
    <w:p w14:paraId="40B5BFF8" w14:textId="4D5C3BF7" w:rsidR="00C12997" w:rsidRDefault="000B2097" w:rsidP="000B2097">
      <w:r>
        <w:t xml:space="preserve">Since the scope of this observational study is for The Times Higher Education World University Ranking for 2016, no casual inference can be made between the explanatory and response variables. It is possible that there are more important </w:t>
      </w:r>
      <w:r w:rsidR="00C45EF9">
        <w:t>measures, which</w:t>
      </w:r>
      <w:r>
        <w:t xml:space="preserve"> better explain the overall ranking of the </w:t>
      </w:r>
      <w:r w:rsidR="00C45EF9">
        <w:t>universities, which</w:t>
      </w:r>
      <w:r>
        <w:t xml:space="preserve"> were not published.</w:t>
      </w:r>
    </w:p>
    <w:p w14:paraId="5D692598" w14:textId="7E8D0367" w:rsidR="000B2097" w:rsidRDefault="000B2097" w:rsidP="000B2097">
      <w:r>
        <w:t xml:space="preserve">Furthermore, </w:t>
      </w:r>
      <w:r w:rsidR="00C10F1B">
        <w:t>we must bear in mind that the methodologies and weightings for each criterion</w:t>
      </w:r>
      <w:r w:rsidR="002A69CA">
        <w:t xml:space="preserve"> used by The Times Higher Education World Ranking</w:t>
      </w:r>
      <w:r w:rsidR="00C10F1B">
        <w:t xml:space="preserve"> maybe adjusted from year-to-year.</w:t>
      </w:r>
      <w:r w:rsidR="00715F61">
        <w:t xml:space="preserve"> </w:t>
      </w:r>
      <w:r w:rsidR="002A69CA">
        <w:t xml:space="preserve">We will weight the explanatory variables equally as we are investigating the influence of all variables equally. </w:t>
      </w:r>
      <w:r w:rsidR="00715F61">
        <w:t xml:space="preserve">Finally, to </w:t>
      </w:r>
      <w:r w:rsidR="007960EA">
        <w:t>get another</w:t>
      </w:r>
      <w:r w:rsidR="00150D33">
        <w:t xml:space="preserve"> perspective of </w:t>
      </w:r>
      <w:r w:rsidR="00715F61">
        <w:t>this</w:t>
      </w:r>
      <w:r w:rsidR="00B57155">
        <w:t xml:space="preserve"> study,</w:t>
      </w:r>
      <w:r w:rsidR="00715F61">
        <w:t xml:space="preserve"> </w:t>
      </w:r>
      <w:r w:rsidR="00B57155">
        <w:t xml:space="preserve">we note that seven schools have consistently taken one of top seven spots under this ranking </w:t>
      </w:r>
      <w:r w:rsidR="00150D33">
        <w:t>methodology</w:t>
      </w:r>
      <w:r w:rsidR="00B57155">
        <w:t xml:space="preserve"> from 2011-2016. They are: California Institute of Technology, University of Oxford, Stanford University, University of Cambridge, Massachusetts Institute of Technology, Harvard University, and Princeton University.</w:t>
      </w:r>
      <w:r w:rsidR="00A96875">
        <w:t xml:space="preserve"> Such a small group of ‘winner take all’ </w:t>
      </w:r>
      <w:r w:rsidR="00E01C2A">
        <w:t xml:space="preserve">in </w:t>
      </w:r>
      <w:r w:rsidR="00A96875">
        <w:t>the ranking results may lead one to question the ranking methodology for the top universities as it may not have practical significance to the student applying for admission.</w:t>
      </w:r>
    </w:p>
    <w:p w14:paraId="18333C9F" w14:textId="02A931DA" w:rsidR="009A45B1" w:rsidRDefault="009A45B1" w:rsidP="009A45B1">
      <w:pPr>
        <w:pStyle w:val="Heading1"/>
        <w:rPr>
          <w:rFonts w:ascii="Arial" w:hAnsi="Arial"/>
          <w:sz w:val="22"/>
          <w:szCs w:val="22"/>
          <w:u w:val="single"/>
        </w:rPr>
      </w:pPr>
      <w:r>
        <w:rPr>
          <w:rFonts w:ascii="Arial" w:hAnsi="Arial"/>
          <w:sz w:val="22"/>
          <w:szCs w:val="22"/>
          <w:u w:val="single"/>
        </w:rPr>
        <w:t>Data Set Description</w:t>
      </w:r>
    </w:p>
    <w:p w14:paraId="7CFDACD7" w14:textId="418A2B6B" w:rsidR="00690EFF" w:rsidRDefault="00E562E5" w:rsidP="00D43888">
      <w:r>
        <w:t xml:space="preserve">The analysis is based on publicly available dataset, available from the </w:t>
      </w:r>
      <w:proofErr w:type="spellStart"/>
      <w:r>
        <w:t>Kaggle</w:t>
      </w:r>
      <w:proofErr w:type="spellEnd"/>
      <w:r w:rsidR="007B0632">
        <w:t xml:space="preserve"> website</w:t>
      </w:r>
      <w:r w:rsidR="001D0EE4">
        <w:t xml:space="preserve"> and also from </w:t>
      </w:r>
      <w:r w:rsidR="007B0632">
        <w:t>The Times Higher Education World University Rankings website.</w:t>
      </w:r>
      <w:r w:rsidR="005C773D">
        <w:t xml:space="preserve"> </w:t>
      </w:r>
      <w:r w:rsidR="00C45EF9">
        <w:t xml:space="preserve">Please refer to: </w:t>
      </w:r>
      <w:hyperlink r:id="rId8" w:history="1">
        <w:r w:rsidR="00BC6B5D" w:rsidRPr="00E3657C">
          <w:rPr>
            <w:rStyle w:val="Hyperlink"/>
          </w:rPr>
          <w:t>https://www.kaggle.com/mylesoneill/world-university-rankings</w:t>
        </w:r>
      </w:hyperlink>
      <w:r w:rsidR="00BC6B5D">
        <w:t xml:space="preserve"> </w:t>
      </w:r>
      <w:hyperlink r:id="rId9" w:anchor="!/page/0/length/25" w:history="1">
        <w:r w:rsidR="00690EFF" w:rsidRPr="0074528C">
          <w:rPr>
            <w:rStyle w:val="Hyperlink"/>
          </w:rPr>
          <w:t>https://www.timeshighereducatio</w:t>
        </w:r>
        <w:r w:rsidR="00690EFF" w:rsidRPr="0074528C">
          <w:rPr>
            <w:rStyle w:val="Hyperlink"/>
          </w:rPr>
          <w:t>n</w:t>
        </w:r>
        <w:r w:rsidR="00690EFF" w:rsidRPr="0074528C">
          <w:rPr>
            <w:rStyle w:val="Hyperlink"/>
          </w:rPr>
          <w:t>.com/world-university-rankings/2016/world-ranking#!/page/0/length/25</w:t>
        </w:r>
      </w:hyperlink>
    </w:p>
    <w:p w14:paraId="3F76436F" w14:textId="260DF26C" w:rsidR="00612116" w:rsidRDefault="00C45EF9" w:rsidP="00D43888">
      <w:r>
        <w:t>In Figure 1,</w:t>
      </w:r>
      <w:r w:rsidR="008A5731">
        <w:t xml:space="preserve"> </w:t>
      </w:r>
      <w:r>
        <w:t>t</w:t>
      </w:r>
      <w:r w:rsidR="00150D33">
        <w:t xml:space="preserve">he data </w:t>
      </w:r>
      <w:r w:rsidR="007506F5">
        <w:t xml:space="preserve">for the top 200 universities </w:t>
      </w:r>
      <w:r w:rsidR="00150D33">
        <w:t>was sorted by</w:t>
      </w:r>
      <w:r w:rsidR="00D55D24">
        <w:t xml:space="preserve"> the response variable</w:t>
      </w:r>
      <w:r w:rsidR="00150D33">
        <w:t xml:space="preserve"> </w:t>
      </w:r>
      <w:r w:rsidR="00D55D24">
        <w:t>total s</w:t>
      </w:r>
      <w:r w:rsidR="00150D33">
        <w:t>core, which determines the ove</w:t>
      </w:r>
      <w:r w:rsidR="00612116">
        <w:t>rall ranking of the university.</w:t>
      </w:r>
    </w:p>
    <w:tbl>
      <w:tblPr>
        <w:tblStyle w:val="TableGrid"/>
        <w:tblW w:w="0" w:type="auto"/>
        <w:tblLook w:val="04A0" w:firstRow="1" w:lastRow="0" w:firstColumn="1" w:lastColumn="0" w:noHBand="0" w:noVBand="1"/>
      </w:tblPr>
      <w:tblGrid>
        <w:gridCol w:w="1915"/>
        <w:gridCol w:w="1278"/>
        <w:gridCol w:w="3755"/>
        <w:gridCol w:w="1080"/>
        <w:gridCol w:w="1548"/>
      </w:tblGrid>
      <w:tr w:rsidR="00612116" w:rsidRPr="002B7E71" w14:paraId="6CD2DCB6" w14:textId="77777777" w:rsidTr="00E256E7">
        <w:tc>
          <w:tcPr>
            <w:tcW w:w="1915" w:type="dxa"/>
            <w:shd w:val="clear" w:color="auto" w:fill="A6A6A6" w:themeFill="background1" w:themeFillShade="A6"/>
          </w:tcPr>
          <w:p w14:paraId="6BC651FF" w14:textId="77777777" w:rsidR="00612116" w:rsidRPr="002B7E71" w:rsidRDefault="00612116" w:rsidP="00E256E7">
            <w:pPr>
              <w:rPr>
                <w:b/>
              </w:rPr>
            </w:pPr>
            <w:r w:rsidRPr="002B7E71">
              <w:rPr>
                <w:b/>
              </w:rPr>
              <w:lastRenderedPageBreak/>
              <w:t>Variable</w:t>
            </w:r>
          </w:p>
        </w:tc>
        <w:tc>
          <w:tcPr>
            <w:tcW w:w="1278" w:type="dxa"/>
            <w:shd w:val="clear" w:color="auto" w:fill="A6A6A6" w:themeFill="background1" w:themeFillShade="A6"/>
          </w:tcPr>
          <w:p w14:paraId="32448438" w14:textId="77777777" w:rsidR="00612116" w:rsidRPr="002B7E71" w:rsidRDefault="00612116" w:rsidP="00E256E7">
            <w:pPr>
              <w:rPr>
                <w:b/>
              </w:rPr>
            </w:pPr>
            <w:r w:rsidRPr="002B7E71">
              <w:rPr>
                <w:b/>
              </w:rPr>
              <w:t>Usage</w:t>
            </w:r>
          </w:p>
        </w:tc>
        <w:tc>
          <w:tcPr>
            <w:tcW w:w="3755" w:type="dxa"/>
            <w:shd w:val="clear" w:color="auto" w:fill="A6A6A6" w:themeFill="background1" w:themeFillShade="A6"/>
          </w:tcPr>
          <w:p w14:paraId="0991376E" w14:textId="77777777" w:rsidR="00612116" w:rsidRPr="002B7E71" w:rsidRDefault="00612116" w:rsidP="00E256E7">
            <w:pPr>
              <w:rPr>
                <w:b/>
              </w:rPr>
            </w:pPr>
            <w:r w:rsidRPr="002B7E71">
              <w:rPr>
                <w:b/>
              </w:rPr>
              <w:t>Description</w:t>
            </w:r>
          </w:p>
        </w:tc>
        <w:tc>
          <w:tcPr>
            <w:tcW w:w="1080" w:type="dxa"/>
            <w:shd w:val="clear" w:color="auto" w:fill="A6A6A6" w:themeFill="background1" w:themeFillShade="A6"/>
          </w:tcPr>
          <w:p w14:paraId="23083DB2" w14:textId="77777777" w:rsidR="00612116" w:rsidRPr="002B7E71" w:rsidRDefault="00612116" w:rsidP="00E256E7">
            <w:pPr>
              <w:rPr>
                <w:b/>
              </w:rPr>
            </w:pPr>
            <w:r w:rsidRPr="002B7E71">
              <w:rPr>
                <w:b/>
              </w:rPr>
              <w:t>Type</w:t>
            </w:r>
          </w:p>
        </w:tc>
        <w:tc>
          <w:tcPr>
            <w:tcW w:w="1548" w:type="dxa"/>
            <w:shd w:val="clear" w:color="auto" w:fill="A6A6A6" w:themeFill="background1" w:themeFillShade="A6"/>
          </w:tcPr>
          <w:p w14:paraId="0E339B20" w14:textId="77777777" w:rsidR="00612116" w:rsidRPr="002B7E71" w:rsidRDefault="00612116" w:rsidP="00E256E7">
            <w:pPr>
              <w:rPr>
                <w:b/>
              </w:rPr>
            </w:pPr>
            <w:r w:rsidRPr="002B7E71">
              <w:rPr>
                <w:b/>
              </w:rPr>
              <w:t>Range</w:t>
            </w:r>
          </w:p>
        </w:tc>
      </w:tr>
      <w:tr w:rsidR="00612116" w:rsidRPr="002B7E71" w14:paraId="2A1BCE7A" w14:textId="77777777" w:rsidTr="00E256E7">
        <w:tc>
          <w:tcPr>
            <w:tcW w:w="1915" w:type="dxa"/>
          </w:tcPr>
          <w:p w14:paraId="706A13E5" w14:textId="77777777" w:rsidR="00612116" w:rsidRPr="002B7E71" w:rsidRDefault="00612116" w:rsidP="00E256E7">
            <w:r w:rsidRPr="002B7E71">
              <w:t>University</w:t>
            </w:r>
          </w:p>
        </w:tc>
        <w:tc>
          <w:tcPr>
            <w:tcW w:w="1278" w:type="dxa"/>
          </w:tcPr>
          <w:p w14:paraId="308A3A0B" w14:textId="77777777" w:rsidR="00612116" w:rsidRPr="002B7E71" w:rsidRDefault="00612116" w:rsidP="00E256E7">
            <w:r w:rsidRPr="002B7E71">
              <w:t>Identifier</w:t>
            </w:r>
          </w:p>
        </w:tc>
        <w:tc>
          <w:tcPr>
            <w:tcW w:w="3755" w:type="dxa"/>
          </w:tcPr>
          <w:p w14:paraId="41E18998" w14:textId="77777777" w:rsidR="00612116" w:rsidRPr="002B7E71" w:rsidRDefault="00612116" w:rsidP="00E256E7">
            <w:r>
              <w:t>University name</w:t>
            </w:r>
          </w:p>
        </w:tc>
        <w:tc>
          <w:tcPr>
            <w:tcW w:w="1080" w:type="dxa"/>
          </w:tcPr>
          <w:p w14:paraId="04685EA5" w14:textId="77777777" w:rsidR="00612116" w:rsidRPr="002B7E71" w:rsidRDefault="00612116" w:rsidP="00E256E7">
            <w:r>
              <w:t>String</w:t>
            </w:r>
          </w:p>
        </w:tc>
        <w:tc>
          <w:tcPr>
            <w:tcW w:w="1548" w:type="dxa"/>
          </w:tcPr>
          <w:p w14:paraId="33038BED" w14:textId="77777777" w:rsidR="00612116" w:rsidRPr="002B7E71" w:rsidRDefault="00612116" w:rsidP="00E256E7">
            <w:r>
              <w:t>N/A</w:t>
            </w:r>
          </w:p>
        </w:tc>
      </w:tr>
      <w:tr w:rsidR="00612116" w:rsidRPr="002B7E71" w14:paraId="2A19BDE0" w14:textId="77777777" w:rsidTr="00E256E7">
        <w:tc>
          <w:tcPr>
            <w:tcW w:w="1915" w:type="dxa"/>
          </w:tcPr>
          <w:p w14:paraId="07CCEDD3" w14:textId="77777777" w:rsidR="00612116" w:rsidRPr="002B7E71" w:rsidRDefault="00612116" w:rsidP="00E256E7">
            <w:r w:rsidRPr="002B7E71">
              <w:t>Total Score</w:t>
            </w:r>
          </w:p>
        </w:tc>
        <w:tc>
          <w:tcPr>
            <w:tcW w:w="1278" w:type="dxa"/>
          </w:tcPr>
          <w:p w14:paraId="5BCC6069" w14:textId="77777777" w:rsidR="00612116" w:rsidRPr="002B7E71" w:rsidRDefault="00612116" w:rsidP="00E256E7">
            <w:r w:rsidRPr="002B7E71">
              <w:t>Response</w:t>
            </w:r>
          </w:p>
        </w:tc>
        <w:tc>
          <w:tcPr>
            <w:tcW w:w="3755" w:type="dxa"/>
          </w:tcPr>
          <w:p w14:paraId="4A9B9527" w14:textId="77777777" w:rsidR="00612116" w:rsidRPr="002B7E71" w:rsidRDefault="00612116" w:rsidP="00E256E7">
            <w:r>
              <w:t>Total score, used to determine rank</w:t>
            </w:r>
          </w:p>
        </w:tc>
        <w:tc>
          <w:tcPr>
            <w:tcW w:w="1080" w:type="dxa"/>
          </w:tcPr>
          <w:p w14:paraId="4DB5E06B" w14:textId="77777777" w:rsidR="00612116" w:rsidRPr="002B7E71" w:rsidRDefault="00612116" w:rsidP="00E256E7">
            <w:r>
              <w:t>Decimal</w:t>
            </w:r>
          </w:p>
        </w:tc>
        <w:tc>
          <w:tcPr>
            <w:tcW w:w="1548" w:type="dxa"/>
          </w:tcPr>
          <w:p w14:paraId="556F4E40" w14:textId="77777777" w:rsidR="00612116" w:rsidRPr="002B7E71" w:rsidRDefault="00612116" w:rsidP="00E256E7">
            <w:r>
              <w:t>0 to 100</w:t>
            </w:r>
          </w:p>
        </w:tc>
      </w:tr>
      <w:tr w:rsidR="00612116" w:rsidRPr="002B7E71" w14:paraId="485B4062" w14:textId="77777777" w:rsidTr="00E256E7">
        <w:tc>
          <w:tcPr>
            <w:tcW w:w="1915" w:type="dxa"/>
          </w:tcPr>
          <w:p w14:paraId="3895FEEF" w14:textId="77777777" w:rsidR="00612116" w:rsidRPr="002B7E71" w:rsidRDefault="00612116" w:rsidP="00E256E7">
            <w:r>
              <w:t>Teaching</w:t>
            </w:r>
          </w:p>
        </w:tc>
        <w:tc>
          <w:tcPr>
            <w:tcW w:w="1278" w:type="dxa"/>
          </w:tcPr>
          <w:p w14:paraId="6D61F861" w14:textId="77777777" w:rsidR="00612116" w:rsidRPr="002B7E71" w:rsidRDefault="00612116" w:rsidP="00E256E7">
            <w:r>
              <w:t>Explanatory</w:t>
            </w:r>
          </w:p>
        </w:tc>
        <w:tc>
          <w:tcPr>
            <w:tcW w:w="3755" w:type="dxa"/>
          </w:tcPr>
          <w:p w14:paraId="62828E1B" w14:textId="77777777" w:rsidR="00612116" w:rsidRPr="002B7E71" w:rsidRDefault="00612116" w:rsidP="00E256E7">
            <w:r>
              <w:t>University score for teaching (the learning environment)</w:t>
            </w:r>
          </w:p>
        </w:tc>
        <w:tc>
          <w:tcPr>
            <w:tcW w:w="1080" w:type="dxa"/>
          </w:tcPr>
          <w:p w14:paraId="45929F2A" w14:textId="77777777" w:rsidR="00612116" w:rsidRPr="002B7E71" w:rsidRDefault="00612116" w:rsidP="00E256E7">
            <w:r>
              <w:t>Decimal</w:t>
            </w:r>
          </w:p>
        </w:tc>
        <w:tc>
          <w:tcPr>
            <w:tcW w:w="1548" w:type="dxa"/>
          </w:tcPr>
          <w:p w14:paraId="24F0E3AE" w14:textId="77777777" w:rsidR="00612116" w:rsidRPr="002B7E71" w:rsidRDefault="00612116" w:rsidP="00E256E7">
            <w:r>
              <w:t>0 to 100</w:t>
            </w:r>
          </w:p>
        </w:tc>
      </w:tr>
      <w:tr w:rsidR="00612116" w:rsidRPr="002B7E71" w14:paraId="6BC8CE16" w14:textId="77777777" w:rsidTr="00E256E7">
        <w:tc>
          <w:tcPr>
            <w:tcW w:w="1915" w:type="dxa"/>
          </w:tcPr>
          <w:p w14:paraId="6FC1D5F3" w14:textId="77777777" w:rsidR="00612116" w:rsidRPr="002B7E71" w:rsidRDefault="00612116" w:rsidP="00E256E7">
            <w:r>
              <w:t>International</w:t>
            </w:r>
          </w:p>
        </w:tc>
        <w:tc>
          <w:tcPr>
            <w:tcW w:w="1278" w:type="dxa"/>
          </w:tcPr>
          <w:p w14:paraId="7A39D01F" w14:textId="77777777" w:rsidR="00612116" w:rsidRPr="002B7E71" w:rsidRDefault="00612116" w:rsidP="00E256E7">
            <w:r>
              <w:t>Explanatory</w:t>
            </w:r>
          </w:p>
        </w:tc>
        <w:tc>
          <w:tcPr>
            <w:tcW w:w="3755" w:type="dxa"/>
          </w:tcPr>
          <w:p w14:paraId="16F2376A" w14:textId="77777777" w:rsidR="00612116" w:rsidRPr="002B7E71" w:rsidRDefault="00612116" w:rsidP="00E256E7">
            <w:r>
              <w:t>University score for international outlook (staff, students, research); ability to attract undergrads, postgraduates, and faculty from all over the planet is key to it’s success on the world stage</w:t>
            </w:r>
          </w:p>
        </w:tc>
        <w:tc>
          <w:tcPr>
            <w:tcW w:w="1080" w:type="dxa"/>
          </w:tcPr>
          <w:p w14:paraId="6544A49D" w14:textId="77777777" w:rsidR="00612116" w:rsidRPr="002B7E71" w:rsidRDefault="00612116" w:rsidP="00E256E7">
            <w:r>
              <w:t>Decimal</w:t>
            </w:r>
          </w:p>
        </w:tc>
        <w:tc>
          <w:tcPr>
            <w:tcW w:w="1548" w:type="dxa"/>
          </w:tcPr>
          <w:p w14:paraId="156C0357" w14:textId="77777777" w:rsidR="00612116" w:rsidRPr="002B7E71" w:rsidRDefault="00612116" w:rsidP="00E256E7">
            <w:r>
              <w:t>0 to 100</w:t>
            </w:r>
          </w:p>
        </w:tc>
      </w:tr>
      <w:tr w:rsidR="00612116" w:rsidRPr="002B7E71" w14:paraId="606F70AD" w14:textId="77777777" w:rsidTr="00E256E7">
        <w:tc>
          <w:tcPr>
            <w:tcW w:w="1915" w:type="dxa"/>
          </w:tcPr>
          <w:p w14:paraId="119705A6" w14:textId="77777777" w:rsidR="00612116" w:rsidRPr="002B7E71" w:rsidRDefault="00612116" w:rsidP="00E256E7">
            <w:r>
              <w:t>Research</w:t>
            </w:r>
          </w:p>
        </w:tc>
        <w:tc>
          <w:tcPr>
            <w:tcW w:w="1278" w:type="dxa"/>
          </w:tcPr>
          <w:p w14:paraId="69C07B42" w14:textId="77777777" w:rsidR="00612116" w:rsidRPr="002B7E71" w:rsidRDefault="00612116" w:rsidP="00E256E7">
            <w:r>
              <w:t>Explanatory</w:t>
            </w:r>
          </w:p>
        </w:tc>
        <w:tc>
          <w:tcPr>
            <w:tcW w:w="3755" w:type="dxa"/>
          </w:tcPr>
          <w:p w14:paraId="18457788" w14:textId="77777777" w:rsidR="00612116" w:rsidRPr="002B7E71" w:rsidRDefault="00612116" w:rsidP="00E256E7">
            <w:r>
              <w:t>University score for research (volume, income, reputation)</w:t>
            </w:r>
          </w:p>
        </w:tc>
        <w:tc>
          <w:tcPr>
            <w:tcW w:w="1080" w:type="dxa"/>
          </w:tcPr>
          <w:p w14:paraId="3C076D1B" w14:textId="77777777" w:rsidR="00612116" w:rsidRPr="002B7E71" w:rsidRDefault="00612116" w:rsidP="00E256E7">
            <w:r>
              <w:t>Decimal</w:t>
            </w:r>
          </w:p>
        </w:tc>
        <w:tc>
          <w:tcPr>
            <w:tcW w:w="1548" w:type="dxa"/>
          </w:tcPr>
          <w:p w14:paraId="03F17057" w14:textId="77777777" w:rsidR="00612116" w:rsidRPr="002B7E71" w:rsidRDefault="00612116" w:rsidP="00E256E7">
            <w:r>
              <w:t>0 to 100</w:t>
            </w:r>
          </w:p>
        </w:tc>
      </w:tr>
      <w:tr w:rsidR="00612116" w:rsidRPr="002B7E71" w14:paraId="1B22C6B6" w14:textId="77777777" w:rsidTr="00E256E7">
        <w:tc>
          <w:tcPr>
            <w:tcW w:w="1915" w:type="dxa"/>
          </w:tcPr>
          <w:p w14:paraId="2E428A18" w14:textId="77777777" w:rsidR="00612116" w:rsidRPr="002B7E71" w:rsidRDefault="00612116" w:rsidP="00E256E7">
            <w:r>
              <w:t>Citations</w:t>
            </w:r>
          </w:p>
        </w:tc>
        <w:tc>
          <w:tcPr>
            <w:tcW w:w="1278" w:type="dxa"/>
          </w:tcPr>
          <w:p w14:paraId="49B88E1D" w14:textId="77777777" w:rsidR="00612116" w:rsidRPr="002B7E71" w:rsidRDefault="00612116" w:rsidP="00E256E7">
            <w:r>
              <w:t>Explanatory</w:t>
            </w:r>
          </w:p>
        </w:tc>
        <w:tc>
          <w:tcPr>
            <w:tcW w:w="3755" w:type="dxa"/>
          </w:tcPr>
          <w:p w14:paraId="4830CEBE" w14:textId="77777777" w:rsidR="00612116" w:rsidRPr="002B7E71" w:rsidRDefault="00612116" w:rsidP="00E256E7">
            <w:r>
              <w:t>University score for citations (research influence); indicator at the role in spreading new knowledge and ideas</w:t>
            </w:r>
          </w:p>
        </w:tc>
        <w:tc>
          <w:tcPr>
            <w:tcW w:w="1080" w:type="dxa"/>
          </w:tcPr>
          <w:p w14:paraId="1378318F" w14:textId="77777777" w:rsidR="00612116" w:rsidRPr="002B7E71" w:rsidRDefault="00612116" w:rsidP="00E256E7">
            <w:r>
              <w:t>Decimal</w:t>
            </w:r>
          </w:p>
        </w:tc>
        <w:tc>
          <w:tcPr>
            <w:tcW w:w="1548" w:type="dxa"/>
          </w:tcPr>
          <w:p w14:paraId="0511E8F6" w14:textId="77777777" w:rsidR="00612116" w:rsidRPr="002B7E71" w:rsidRDefault="00612116" w:rsidP="00E256E7">
            <w:r>
              <w:t>0 to 100</w:t>
            </w:r>
          </w:p>
        </w:tc>
      </w:tr>
      <w:tr w:rsidR="00612116" w:rsidRPr="002B7E71" w14:paraId="11040FF7" w14:textId="77777777" w:rsidTr="00E256E7">
        <w:tc>
          <w:tcPr>
            <w:tcW w:w="1915" w:type="dxa"/>
          </w:tcPr>
          <w:p w14:paraId="202E0771" w14:textId="77777777" w:rsidR="00612116" w:rsidRPr="002B7E71" w:rsidRDefault="00612116" w:rsidP="00E256E7">
            <w:r>
              <w:t>Income</w:t>
            </w:r>
          </w:p>
        </w:tc>
        <w:tc>
          <w:tcPr>
            <w:tcW w:w="1278" w:type="dxa"/>
          </w:tcPr>
          <w:p w14:paraId="20E02CEE" w14:textId="77777777" w:rsidR="00612116" w:rsidRPr="002B7E71" w:rsidRDefault="00612116" w:rsidP="00E256E7">
            <w:r>
              <w:t>Explanatory</w:t>
            </w:r>
          </w:p>
        </w:tc>
        <w:tc>
          <w:tcPr>
            <w:tcW w:w="3755" w:type="dxa"/>
          </w:tcPr>
          <w:p w14:paraId="532866C0" w14:textId="77777777" w:rsidR="00612116" w:rsidRPr="002B7E71" w:rsidRDefault="00612116" w:rsidP="00E256E7">
            <w:r>
              <w:t>University score for industry income (knowledge transfer); this category seeks to capture the ability to help industry with innovations, inventions, and consultancy</w:t>
            </w:r>
          </w:p>
        </w:tc>
        <w:tc>
          <w:tcPr>
            <w:tcW w:w="1080" w:type="dxa"/>
          </w:tcPr>
          <w:p w14:paraId="4FFAA7BE" w14:textId="77777777" w:rsidR="00612116" w:rsidRPr="002B7E71" w:rsidRDefault="00612116" w:rsidP="00E256E7">
            <w:r>
              <w:t>Decimal</w:t>
            </w:r>
          </w:p>
        </w:tc>
        <w:tc>
          <w:tcPr>
            <w:tcW w:w="1548" w:type="dxa"/>
          </w:tcPr>
          <w:p w14:paraId="5E02159D" w14:textId="77777777" w:rsidR="00612116" w:rsidRPr="002B7E71" w:rsidRDefault="00612116" w:rsidP="00E256E7">
            <w:r>
              <w:t>0 to 100</w:t>
            </w:r>
          </w:p>
        </w:tc>
      </w:tr>
      <w:tr w:rsidR="00612116" w:rsidRPr="002B7E71" w14:paraId="735A5428" w14:textId="77777777" w:rsidTr="00E256E7">
        <w:trPr>
          <w:trHeight w:val="827"/>
        </w:trPr>
        <w:tc>
          <w:tcPr>
            <w:tcW w:w="1915" w:type="dxa"/>
          </w:tcPr>
          <w:p w14:paraId="63E527BB" w14:textId="77777777" w:rsidR="00612116" w:rsidRPr="002B7E71" w:rsidRDefault="00612116" w:rsidP="00E256E7">
            <w:r>
              <w:t># Of Students</w:t>
            </w:r>
          </w:p>
        </w:tc>
        <w:tc>
          <w:tcPr>
            <w:tcW w:w="1278" w:type="dxa"/>
          </w:tcPr>
          <w:p w14:paraId="69322931" w14:textId="77777777" w:rsidR="00612116" w:rsidRPr="002B7E71" w:rsidRDefault="00612116" w:rsidP="00E256E7">
            <w:r>
              <w:t>Explanatory</w:t>
            </w:r>
          </w:p>
        </w:tc>
        <w:tc>
          <w:tcPr>
            <w:tcW w:w="3755" w:type="dxa"/>
          </w:tcPr>
          <w:p w14:paraId="44632B18" w14:textId="77777777" w:rsidR="00612116" w:rsidRPr="002B7E71" w:rsidRDefault="00612116" w:rsidP="00E256E7">
            <w:r>
              <w:t>Total Number of Students; the number of full time equivalent students at the University</w:t>
            </w:r>
          </w:p>
        </w:tc>
        <w:tc>
          <w:tcPr>
            <w:tcW w:w="1080" w:type="dxa"/>
          </w:tcPr>
          <w:p w14:paraId="2B791FF2" w14:textId="77777777" w:rsidR="00612116" w:rsidRPr="002B7E71" w:rsidRDefault="00612116" w:rsidP="00E256E7">
            <w:r>
              <w:t>Integer</w:t>
            </w:r>
          </w:p>
        </w:tc>
        <w:tc>
          <w:tcPr>
            <w:tcW w:w="1548" w:type="dxa"/>
          </w:tcPr>
          <w:p w14:paraId="60CB53CA" w14:textId="77777777" w:rsidR="00612116" w:rsidRPr="002B7E71" w:rsidRDefault="00612116" w:rsidP="00E256E7">
            <w:r>
              <w:t>&gt;0</w:t>
            </w:r>
          </w:p>
        </w:tc>
      </w:tr>
      <w:tr w:rsidR="00612116" w:rsidRPr="002B7E71" w14:paraId="20AF20BF" w14:textId="77777777" w:rsidTr="00E256E7">
        <w:tc>
          <w:tcPr>
            <w:tcW w:w="1915" w:type="dxa"/>
          </w:tcPr>
          <w:p w14:paraId="6B5B7252" w14:textId="77777777" w:rsidR="00612116" w:rsidRPr="002B7E71" w:rsidRDefault="00612116" w:rsidP="00E256E7">
            <w:r>
              <w:t>Student/Staff</w:t>
            </w:r>
          </w:p>
        </w:tc>
        <w:tc>
          <w:tcPr>
            <w:tcW w:w="1278" w:type="dxa"/>
          </w:tcPr>
          <w:p w14:paraId="2E3DB44B" w14:textId="77777777" w:rsidR="00612116" w:rsidRPr="002B7E71" w:rsidRDefault="00612116" w:rsidP="00E256E7">
            <w:r>
              <w:t>Explanatory</w:t>
            </w:r>
          </w:p>
        </w:tc>
        <w:tc>
          <w:tcPr>
            <w:tcW w:w="3755" w:type="dxa"/>
          </w:tcPr>
          <w:p w14:paraId="103A6882" w14:textId="77777777" w:rsidR="00612116" w:rsidRPr="002B7E71" w:rsidRDefault="00612116" w:rsidP="00E256E7">
            <w:r>
              <w:t xml:space="preserve"># </w:t>
            </w:r>
            <w:proofErr w:type="gramStart"/>
            <w:r>
              <w:t>of</w:t>
            </w:r>
            <w:proofErr w:type="gramEnd"/>
            <w:r>
              <w:t xml:space="preserve"> Students to Staff; ratio of full time equivalent students to the number of academic staff, those involved in teaching or research</w:t>
            </w:r>
          </w:p>
        </w:tc>
        <w:tc>
          <w:tcPr>
            <w:tcW w:w="1080" w:type="dxa"/>
          </w:tcPr>
          <w:p w14:paraId="2BC7ECBD" w14:textId="77777777" w:rsidR="00612116" w:rsidRPr="002B7E71" w:rsidRDefault="00612116" w:rsidP="00E256E7">
            <w:r>
              <w:t>Decimal</w:t>
            </w:r>
          </w:p>
        </w:tc>
        <w:tc>
          <w:tcPr>
            <w:tcW w:w="1548" w:type="dxa"/>
          </w:tcPr>
          <w:p w14:paraId="2FD1DA44" w14:textId="77777777" w:rsidR="00612116" w:rsidRPr="002B7E71" w:rsidRDefault="00612116" w:rsidP="00E256E7">
            <w:r>
              <w:t>&gt;0</w:t>
            </w:r>
          </w:p>
        </w:tc>
      </w:tr>
      <w:tr w:rsidR="00612116" w:rsidRPr="002B7E71" w14:paraId="0C2472D1" w14:textId="77777777" w:rsidTr="00E256E7">
        <w:tc>
          <w:tcPr>
            <w:tcW w:w="1915" w:type="dxa"/>
          </w:tcPr>
          <w:p w14:paraId="79880225" w14:textId="77777777" w:rsidR="00612116" w:rsidRPr="002B7E71" w:rsidRDefault="00612116" w:rsidP="00E256E7">
            <w:r>
              <w:t>International</w:t>
            </w:r>
          </w:p>
        </w:tc>
        <w:tc>
          <w:tcPr>
            <w:tcW w:w="1278" w:type="dxa"/>
          </w:tcPr>
          <w:p w14:paraId="71C73F92" w14:textId="77777777" w:rsidR="00612116" w:rsidRPr="002B7E71" w:rsidRDefault="00612116" w:rsidP="00E256E7">
            <w:r>
              <w:t>Explanatory</w:t>
            </w:r>
          </w:p>
        </w:tc>
        <w:tc>
          <w:tcPr>
            <w:tcW w:w="3755" w:type="dxa"/>
          </w:tcPr>
          <w:p w14:paraId="03DEC73E" w14:textId="77777777" w:rsidR="00612116" w:rsidRPr="002B7E71" w:rsidRDefault="00612116" w:rsidP="00E256E7">
            <w:r>
              <w:t>Percentage of International Students; students originating from outside of the country of the University</w:t>
            </w:r>
          </w:p>
        </w:tc>
        <w:tc>
          <w:tcPr>
            <w:tcW w:w="1080" w:type="dxa"/>
          </w:tcPr>
          <w:p w14:paraId="148E4B1A" w14:textId="77777777" w:rsidR="00612116" w:rsidRPr="002B7E71" w:rsidRDefault="00612116" w:rsidP="00E256E7">
            <w:r>
              <w:t>Percent</w:t>
            </w:r>
          </w:p>
        </w:tc>
        <w:tc>
          <w:tcPr>
            <w:tcW w:w="1548" w:type="dxa"/>
          </w:tcPr>
          <w:p w14:paraId="31E3D30D" w14:textId="77777777" w:rsidR="00612116" w:rsidRPr="002B7E71" w:rsidRDefault="00612116" w:rsidP="00E256E7">
            <w:r>
              <w:t>0 to 100</w:t>
            </w:r>
          </w:p>
        </w:tc>
      </w:tr>
      <w:tr w:rsidR="00612116" w:rsidRPr="002B7E71" w14:paraId="794ECC0C" w14:textId="77777777" w:rsidTr="00E256E7">
        <w:tc>
          <w:tcPr>
            <w:tcW w:w="1915" w:type="dxa"/>
          </w:tcPr>
          <w:p w14:paraId="6D556E46" w14:textId="77777777" w:rsidR="00612116" w:rsidRPr="002B7E71" w:rsidRDefault="00612116" w:rsidP="00E256E7">
            <w:r>
              <w:t>Female/Male</w:t>
            </w:r>
          </w:p>
        </w:tc>
        <w:tc>
          <w:tcPr>
            <w:tcW w:w="1278" w:type="dxa"/>
          </w:tcPr>
          <w:p w14:paraId="01747609" w14:textId="77777777" w:rsidR="00612116" w:rsidRPr="002B7E71" w:rsidRDefault="00612116" w:rsidP="00E256E7">
            <w:r>
              <w:t>Explanatory</w:t>
            </w:r>
          </w:p>
        </w:tc>
        <w:tc>
          <w:tcPr>
            <w:tcW w:w="3755" w:type="dxa"/>
          </w:tcPr>
          <w:p w14:paraId="6BE0DB75" w14:textId="77777777" w:rsidR="00612116" w:rsidRPr="002B7E71" w:rsidRDefault="00612116" w:rsidP="00E256E7">
            <w:r>
              <w:t xml:space="preserve"># </w:t>
            </w:r>
            <w:proofErr w:type="gramStart"/>
            <w:r>
              <w:t>of</w:t>
            </w:r>
            <w:proofErr w:type="gramEnd"/>
            <w:r>
              <w:t xml:space="preserve"> Females to # of Males</w:t>
            </w:r>
          </w:p>
        </w:tc>
        <w:tc>
          <w:tcPr>
            <w:tcW w:w="1080" w:type="dxa"/>
          </w:tcPr>
          <w:p w14:paraId="2C500D72" w14:textId="77777777" w:rsidR="00612116" w:rsidRPr="002B7E71" w:rsidRDefault="00612116" w:rsidP="00E256E7">
            <w:r>
              <w:t>Decimal</w:t>
            </w:r>
          </w:p>
        </w:tc>
        <w:tc>
          <w:tcPr>
            <w:tcW w:w="1548" w:type="dxa"/>
          </w:tcPr>
          <w:p w14:paraId="162089AF" w14:textId="77777777" w:rsidR="00612116" w:rsidRPr="002B7E71" w:rsidRDefault="00612116" w:rsidP="00E256E7">
            <w:r>
              <w:t>&gt;0</w:t>
            </w:r>
          </w:p>
        </w:tc>
      </w:tr>
      <w:tr w:rsidR="00612116" w:rsidRPr="005C773D" w14:paraId="40367A37" w14:textId="77777777" w:rsidTr="00E256E7">
        <w:tc>
          <w:tcPr>
            <w:tcW w:w="9576" w:type="dxa"/>
            <w:gridSpan w:val="5"/>
          </w:tcPr>
          <w:p w14:paraId="5EF6E184" w14:textId="6AD1EF24" w:rsidR="00612116" w:rsidRPr="005C773D" w:rsidRDefault="00E11DE2" w:rsidP="00E256E7">
            <w:pPr>
              <w:rPr>
                <w:i/>
              </w:rPr>
            </w:pPr>
            <w:r>
              <w:rPr>
                <w:i/>
              </w:rPr>
              <w:t>Figure</w:t>
            </w:r>
            <w:r w:rsidR="00612116" w:rsidRPr="005C773D">
              <w:rPr>
                <w:i/>
              </w:rPr>
              <w:t xml:space="preserve"> 1. List of </w:t>
            </w:r>
            <w:r w:rsidR="00612116">
              <w:rPr>
                <w:i/>
              </w:rPr>
              <w:t xml:space="preserve">all </w:t>
            </w:r>
            <w:r w:rsidR="00612116" w:rsidRPr="005C773D">
              <w:rPr>
                <w:i/>
              </w:rPr>
              <w:t>variables.</w:t>
            </w:r>
          </w:p>
        </w:tc>
      </w:tr>
    </w:tbl>
    <w:p w14:paraId="63B2200B" w14:textId="118E208E" w:rsidR="00612116" w:rsidRDefault="00150D33" w:rsidP="00D43888">
      <w:r>
        <w:t xml:space="preserve">The next five variables, Teaching, International, Research, Citations, and Income were used by The Times Higher Education World University Rankings to determine total score. </w:t>
      </w:r>
      <w:r w:rsidR="000278DE">
        <w:t xml:space="preserve">However, after some </w:t>
      </w:r>
      <w:r w:rsidR="00BC6B5D">
        <w:t>research</w:t>
      </w:r>
      <w:r w:rsidR="000278DE">
        <w:t xml:space="preserve"> on the</w:t>
      </w:r>
      <w:r w:rsidR="00612116">
        <w:t xml:space="preserve"> methodology, we note that the </w:t>
      </w:r>
      <w:r w:rsidR="00F875E5">
        <w:t xml:space="preserve">non-equal </w:t>
      </w:r>
      <w:r w:rsidR="00612116">
        <w:t xml:space="preserve">weighting </w:t>
      </w:r>
      <w:r w:rsidR="00F875E5">
        <w:t>used in 2016</w:t>
      </w:r>
      <w:r w:rsidR="00612116">
        <w:t xml:space="preserve"> </w:t>
      </w:r>
      <w:r w:rsidR="00F875E5">
        <w:t xml:space="preserve">by The Times Higher Education World University Rankings to determine total score as shown in </w:t>
      </w:r>
      <w:r w:rsidR="00E11DE2">
        <w:t>Figure</w:t>
      </w:r>
      <w:r w:rsidR="00F875E5">
        <w:t xml:space="preserve"> 2.</w:t>
      </w:r>
    </w:p>
    <w:tbl>
      <w:tblPr>
        <w:tblStyle w:val="TableGrid"/>
        <w:tblW w:w="0" w:type="auto"/>
        <w:tblLook w:val="04A0" w:firstRow="1" w:lastRow="0" w:firstColumn="1" w:lastColumn="0" w:noHBand="0" w:noVBand="1"/>
      </w:tblPr>
      <w:tblGrid>
        <w:gridCol w:w="4788"/>
        <w:gridCol w:w="4788"/>
      </w:tblGrid>
      <w:tr w:rsidR="00612116" w:rsidRPr="00612116" w14:paraId="768CAC3D" w14:textId="77777777" w:rsidTr="00612116">
        <w:tc>
          <w:tcPr>
            <w:tcW w:w="4788" w:type="dxa"/>
            <w:shd w:val="clear" w:color="auto" w:fill="A6A6A6" w:themeFill="background1" w:themeFillShade="A6"/>
          </w:tcPr>
          <w:p w14:paraId="00C4EF52" w14:textId="1376524B" w:rsidR="00612116" w:rsidRPr="00612116" w:rsidRDefault="00612116" w:rsidP="00D43888">
            <w:pPr>
              <w:rPr>
                <w:b/>
              </w:rPr>
            </w:pPr>
            <w:r w:rsidRPr="00612116">
              <w:rPr>
                <w:b/>
              </w:rPr>
              <w:t>Category</w:t>
            </w:r>
          </w:p>
        </w:tc>
        <w:tc>
          <w:tcPr>
            <w:tcW w:w="4788" w:type="dxa"/>
            <w:shd w:val="clear" w:color="auto" w:fill="A6A6A6" w:themeFill="background1" w:themeFillShade="A6"/>
          </w:tcPr>
          <w:p w14:paraId="1E1DC148" w14:textId="3D3FC5A9" w:rsidR="00612116" w:rsidRPr="00612116" w:rsidRDefault="00612116" w:rsidP="00D43888">
            <w:pPr>
              <w:rPr>
                <w:b/>
              </w:rPr>
            </w:pPr>
            <w:r w:rsidRPr="00612116">
              <w:rPr>
                <w:b/>
              </w:rPr>
              <w:t>Weighting</w:t>
            </w:r>
          </w:p>
        </w:tc>
      </w:tr>
      <w:tr w:rsidR="00612116" w14:paraId="318B3E70" w14:textId="77777777" w:rsidTr="00612116">
        <w:tc>
          <w:tcPr>
            <w:tcW w:w="4788" w:type="dxa"/>
          </w:tcPr>
          <w:p w14:paraId="0DB897A3" w14:textId="528EC9FF" w:rsidR="00612116" w:rsidRDefault="00612116" w:rsidP="00D43888">
            <w:r>
              <w:t>Teaching</w:t>
            </w:r>
          </w:p>
        </w:tc>
        <w:tc>
          <w:tcPr>
            <w:tcW w:w="4788" w:type="dxa"/>
          </w:tcPr>
          <w:p w14:paraId="7D9E00A2" w14:textId="464D26D1" w:rsidR="00612116" w:rsidRDefault="00612116" w:rsidP="00D43888">
            <w:r>
              <w:t>30% of overall score</w:t>
            </w:r>
          </w:p>
        </w:tc>
      </w:tr>
      <w:tr w:rsidR="00612116" w14:paraId="5AAA878E" w14:textId="77777777" w:rsidTr="00612116">
        <w:trPr>
          <w:trHeight w:val="260"/>
        </w:trPr>
        <w:tc>
          <w:tcPr>
            <w:tcW w:w="4788" w:type="dxa"/>
          </w:tcPr>
          <w:p w14:paraId="45E724A1" w14:textId="4AE8212A" w:rsidR="00612116" w:rsidRDefault="00612116" w:rsidP="00D43888">
            <w:r>
              <w:t>International</w:t>
            </w:r>
          </w:p>
        </w:tc>
        <w:tc>
          <w:tcPr>
            <w:tcW w:w="4788" w:type="dxa"/>
          </w:tcPr>
          <w:p w14:paraId="4F751B70" w14:textId="18D7029C" w:rsidR="00612116" w:rsidRDefault="00612116" w:rsidP="00D43888">
            <w:r>
              <w:t>7.5% of overall score</w:t>
            </w:r>
          </w:p>
        </w:tc>
      </w:tr>
      <w:tr w:rsidR="00612116" w14:paraId="741C06D9" w14:textId="77777777" w:rsidTr="00612116">
        <w:tc>
          <w:tcPr>
            <w:tcW w:w="4788" w:type="dxa"/>
          </w:tcPr>
          <w:p w14:paraId="5B1F33B1" w14:textId="0B8BD69E" w:rsidR="00612116" w:rsidRDefault="00612116" w:rsidP="00D43888">
            <w:r>
              <w:t>Research</w:t>
            </w:r>
          </w:p>
        </w:tc>
        <w:tc>
          <w:tcPr>
            <w:tcW w:w="4788" w:type="dxa"/>
          </w:tcPr>
          <w:p w14:paraId="570EF6B9" w14:textId="0EB52ADE" w:rsidR="00612116" w:rsidRDefault="00612116" w:rsidP="00D43888">
            <w:r>
              <w:t>30% of overall score</w:t>
            </w:r>
          </w:p>
        </w:tc>
      </w:tr>
      <w:tr w:rsidR="00612116" w14:paraId="6BB05BC8" w14:textId="77777777" w:rsidTr="00612116">
        <w:tc>
          <w:tcPr>
            <w:tcW w:w="4788" w:type="dxa"/>
          </w:tcPr>
          <w:p w14:paraId="723FA565" w14:textId="573A345B" w:rsidR="00612116" w:rsidRDefault="00612116" w:rsidP="00D43888">
            <w:r>
              <w:t>Citations</w:t>
            </w:r>
          </w:p>
        </w:tc>
        <w:tc>
          <w:tcPr>
            <w:tcW w:w="4788" w:type="dxa"/>
          </w:tcPr>
          <w:p w14:paraId="0EB9098F" w14:textId="6EF75941" w:rsidR="00612116" w:rsidRDefault="00612116" w:rsidP="00D43888">
            <w:r>
              <w:t>30% of overall score</w:t>
            </w:r>
          </w:p>
        </w:tc>
      </w:tr>
      <w:tr w:rsidR="00612116" w14:paraId="7426E6EF" w14:textId="77777777" w:rsidTr="00612116">
        <w:tc>
          <w:tcPr>
            <w:tcW w:w="4788" w:type="dxa"/>
          </w:tcPr>
          <w:p w14:paraId="67BE07A2" w14:textId="2227F66B" w:rsidR="00612116" w:rsidRDefault="00612116" w:rsidP="00D43888">
            <w:r>
              <w:t>Income</w:t>
            </w:r>
          </w:p>
        </w:tc>
        <w:tc>
          <w:tcPr>
            <w:tcW w:w="4788" w:type="dxa"/>
          </w:tcPr>
          <w:p w14:paraId="0037B4FC" w14:textId="72253E9C" w:rsidR="00612116" w:rsidRDefault="00612116" w:rsidP="00D43888">
            <w:r>
              <w:t>2.5% of overall score</w:t>
            </w:r>
          </w:p>
        </w:tc>
      </w:tr>
      <w:tr w:rsidR="00612116" w14:paraId="0CD63CCF" w14:textId="77777777" w:rsidTr="00E256E7">
        <w:tc>
          <w:tcPr>
            <w:tcW w:w="9576" w:type="dxa"/>
            <w:gridSpan w:val="2"/>
          </w:tcPr>
          <w:p w14:paraId="194BD279" w14:textId="3EC0F1EC" w:rsidR="00612116" w:rsidRPr="00612116" w:rsidRDefault="00E11DE2" w:rsidP="00D43888">
            <w:pPr>
              <w:rPr>
                <w:i/>
              </w:rPr>
            </w:pPr>
            <w:r>
              <w:rPr>
                <w:i/>
              </w:rPr>
              <w:t>Figure</w:t>
            </w:r>
            <w:r w:rsidR="00612116" w:rsidRPr="00612116">
              <w:rPr>
                <w:i/>
              </w:rPr>
              <w:t xml:space="preserve"> 2. Weighting for each category.</w:t>
            </w:r>
          </w:p>
        </w:tc>
      </w:tr>
    </w:tbl>
    <w:p w14:paraId="73D58378" w14:textId="019A9547" w:rsidR="00D43888" w:rsidRPr="00D43888" w:rsidRDefault="00150D33" w:rsidP="00D43888">
      <w:r>
        <w:t>The next four variables</w:t>
      </w:r>
      <w:r w:rsidR="00D55D24">
        <w:t xml:space="preserve"> called ‘Key Statistics’ are:</w:t>
      </w:r>
      <w:r>
        <w:t xml:space="preserve"> # of Students, Student/Staff, Inte</w:t>
      </w:r>
      <w:r w:rsidR="00D55D24">
        <w:t>rnational, and Female/Male, and are not part of the criterion used in the calculation of the total score.</w:t>
      </w:r>
      <w:r w:rsidR="00D54C62">
        <w:t xml:space="preserve"> The </w:t>
      </w:r>
      <w:r w:rsidR="00D54C62">
        <w:lastRenderedPageBreak/>
        <w:t>Female/Male variable was converted from a ratio to a decimal in order to allow for analysis (i.e. a value of 1 would indicate equal number of females and males).</w:t>
      </w:r>
      <w:r w:rsidR="00D55D24">
        <w:t xml:space="preserve"> The ‘Key Statistics’ were provided by the universities themselves and represents data from the 2013 academic year and may vary from earlier or subsequent years.</w:t>
      </w:r>
    </w:p>
    <w:p w14:paraId="3FB013B1" w14:textId="585FE0D7" w:rsidR="00C50AE9" w:rsidRDefault="00C50AE9" w:rsidP="005C773D">
      <w:pPr>
        <w:pStyle w:val="Heading1"/>
        <w:rPr>
          <w:rFonts w:ascii="Arial" w:hAnsi="Arial"/>
          <w:sz w:val="22"/>
          <w:szCs w:val="22"/>
          <w:u w:val="single"/>
        </w:rPr>
      </w:pPr>
      <w:r>
        <w:rPr>
          <w:rFonts w:ascii="Arial" w:hAnsi="Arial"/>
          <w:sz w:val="22"/>
          <w:szCs w:val="22"/>
          <w:u w:val="single"/>
        </w:rPr>
        <w:t>Exploratory Data</w:t>
      </w:r>
      <w:r w:rsidR="00EE03FF" w:rsidRPr="00B82F33">
        <w:rPr>
          <w:rFonts w:ascii="Arial" w:hAnsi="Arial"/>
          <w:sz w:val="22"/>
          <w:szCs w:val="22"/>
          <w:u w:val="single"/>
        </w:rPr>
        <w:t xml:space="preserve"> Analysis</w:t>
      </w:r>
      <w:r w:rsidR="00B90299">
        <w:rPr>
          <w:rFonts w:ascii="Arial" w:hAnsi="Arial"/>
          <w:sz w:val="22"/>
          <w:szCs w:val="22"/>
          <w:u w:val="single"/>
        </w:rPr>
        <w:t xml:space="preserve"> and Screening</w:t>
      </w:r>
    </w:p>
    <w:p w14:paraId="5D7AA49A" w14:textId="2E7D164C" w:rsidR="00C00349" w:rsidRDefault="00C00349" w:rsidP="00C00349">
      <w:r>
        <w:t xml:space="preserve">We first begin by exploring the completeness of data. </w:t>
      </w:r>
      <w:r w:rsidR="007506F5">
        <w:t xml:space="preserve">As shown in </w:t>
      </w:r>
      <w:r w:rsidR="00E11DE2">
        <w:t>Figure</w:t>
      </w:r>
      <w:r w:rsidR="00022D55">
        <w:t xml:space="preserve"> 3</w:t>
      </w:r>
      <w:r w:rsidR="00647B29">
        <w:t xml:space="preserve">, </w:t>
      </w:r>
      <w:r w:rsidR="007506F5">
        <w:t xml:space="preserve">the summary statistics indicate </w:t>
      </w:r>
      <w:r w:rsidR="00E01C2A">
        <w:t>of the five variables used to de</w:t>
      </w:r>
      <w:r w:rsidR="007506F5">
        <w:t xml:space="preserve">termine the </w:t>
      </w:r>
      <w:r w:rsidR="009E7F84">
        <w:t>ranking;</w:t>
      </w:r>
      <w:r w:rsidR="007506F5">
        <w:t xml:space="preserve"> there are five</w:t>
      </w:r>
      <w:r w:rsidR="00E01C2A">
        <w:t xml:space="preserve"> universities that did not contain observations for the variable ‘income’.</w:t>
      </w:r>
      <w:r w:rsidR="00A96875">
        <w:t xml:space="preserve"> </w:t>
      </w:r>
      <w:r w:rsidR="007506F5">
        <w:t>The specific five universities with the missin</w:t>
      </w:r>
      <w:r w:rsidR="00022D55">
        <w:t xml:space="preserve">g values are listed in </w:t>
      </w:r>
      <w:r w:rsidR="00E11DE2">
        <w:t>Figure</w:t>
      </w:r>
      <w:r w:rsidR="00022D55">
        <w:t xml:space="preserve"> 4</w:t>
      </w:r>
      <w:r w:rsidR="007506F5">
        <w:t xml:space="preserve">. </w:t>
      </w:r>
      <w:r w:rsidR="00A96875">
        <w:t xml:space="preserve">Also, we note that there are a handful of missing values for the variables number of students, student/staff ratio, international students, and female/male ratio. We can </w:t>
      </w:r>
      <w:proofErr w:type="gramStart"/>
      <w:r w:rsidR="009E7F84">
        <w:t>proceed</w:t>
      </w:r>
      <w:proofErr w:type="gramEnd"/>
      <w:r w:rsidR="009E7F84">
        <w:t>,</w:t>
      </w:r>
      <w:r w:rsidR="00A96875">
        <w:t xml:space="preserve"> as the dataset is for the most part complete, understanding that even for a professional publication, data collection maybe difficult </w:t>
      </w:r>
      <w:r w:rsidR="007506F5">
        <w:t>or unavailable given such a wide variety of institutions.</w:t>
      </w:r>
    </w:p>
    <w:p w14:paraId="16F13D23" w14:textId="1A82D00D" w:rsidR="007506F5" w:rsidRDefault="00F4273E" w:rsidP="00C00349">
      <w:r>
        <w:t xml:space="preserve">Examining the summary statistics, we notice that </w:t>
      </w:r>
      <w:r w:rsidR="003D2C15">
        <w:t xml:space="preserve">the ranges of values for explanatory variables </w:t>
      </w:r>
      <w:proofErr w:type="spellStart"/>
      <w:r w:rsidR="003D2C15">
        <w:t>num_students</w:t>
      </w:r>
      <w:proofErr w:type="spellEnd"/>
      <w:r w:rsidR="003D2C15">
        <w:t xml:space="preserve"> and </w:t>
      </w:r>
      <w:proofErr w:type="spellStart"/>
      <w:r w:rsidR="003D2C15">
        <w:t>female_male_ratio</w:t>
      </w:r>
      <w:proofErr w:type="spellEnd"/>
      <w:r w:rsidR="003D2C15">
        <w:t xml:space="preserve"> differ by several factors, and thus we must standardize the data bef</w:t>
      </w:r>
      <w:r w:rsidR="00B90299">
        <w:t>ore conducting the PCA analysis to determine which variables have the highest influence.</w:t>
      </w:r>
    </w:p>
    <w:p w14:paraId="0D81C890" w14:textId="49B65734" w:rsidR="00E8101C" w:rsidRDefault="00E8101C" w:rsidP="00C00349">
      <w:r>
        <w:t xml:space="preserve">Next, we perform a visual examination of the scatterplot matrix to determine if there is evidence of nonlinear relationships. </w:t>
      </w:r>
      <w:r w:rsidR="00E11DE2">
        <w:t>Figure</w:t>
      </w:r>
      <w:r w:rsidR="00022D55">
        <w:t xml:space="preserve"> 5</w:t>
      </w:r>
      <w:r w:rsidR="003B3C0E">
        <w:t xml:space="preserve"> confirms there is no evidence of nonlinear relationships.</w:t>
      </w:r>
    </w:p>
    <w:p w14:paraId="1B507685" w14:textId="4C49A0A9" w:rsidR="00590AB5" w:rsidRPr="00C00349" w:rsidRDefault="00E8101C" w:rsidP="00C00349">
      <w:r>
        <w:t>Finally</w:t>
      </w:r>
      <w:r w:rsidR="00B90299">
        <w:t xml:space="preserve">, we examine the Pearson correlation matrix </w:t>
      </w:r>
      <w:r w:rsidR="00FD0809">
        <w:t xml:space="preserve">to examine if the variables have high correlation with each other. </w:t>
      </w:r>
      <w:r w:rsidR="00C1020B">
        <w:t>From a high-level,</w:t>
      </w:r>
      <w:r w:rsidR="00FD0809">
        <w:t xml:space="preserve"> PCA is about identifying variables that describe a similar </w:t>
      </w:r>
      <w:r w:rsidR="009E7F84">
        <w:t>construct;</w:t>
      </w:r>
      <w:r w:rsidR="00FD0809">
        <w:t xml:space="preserve"> </w:t>
      </w:r>
      <w:r w:rsidR="00C1020B">
        <w:t>we can</w:t>
      </w:r>
      <w:r w:rsidR="00FD0809">
        <w:t xml:space="preserve"> investigate the correlation matrix </w:t>
      </w:r>
      <w:r w:rsidR="00C1020B">
        <w:t>to get a glimpse of which explanatory variables maybe related.</w:t>
      </w:r>
      <w:r w:rsidR="00022D55">
        <w:t xml:space="preserve"> Judging from </w:t>
      </w:r>
      <w:r w:rsidR="00E11DE2">
        <w:t>Figure</w:t>
      </w:r>
      <w:r w:rsidR="00022D55">
        <w:t xml:space="preserve"> 6</w:t>
      </w:r>
      <w:r w:rsidR="00C1020B">
        <w:t>, we find that there is a high correlation between income/</w:t>
      </w:r>
      <w:proofErr w:type="spellStart"/>
      <w:r w:rsidR="00C1020B">
        <w:t>num_students</w:t>
      </w:r>
      <w:proofErr w:type="spellEnd"/>
      <w:r w:rsidR="00C1020B">
        <w:t xml:space="preserve"> and international/</w:t>
      </w:r>
      <w:proofErr w:type="spellStart"/>
      <w:r w:rsidR="00C1020B">
        <w:t>student_staff_ratio</w:t>
      </w:r>
      <w:proofErr w:type="spellEnd"/>
      <w:r w:rsidR="00C1020B">
        <w:t>.</w:t>
      </w:r>
    </w:p>
    <w:tbl>
      <w:tblPr>
        <w:tblStyle w:val="TableGrid"/>
        <w:tblW w:w="0" w:type="auto"/>
        <w:tblLook w:val="04A0" w:firstRow="1" w:lastRow="0" w:firstColumn="1" w:lastColumn="0" w:noHBand="0" w:noVBand="1"/>
      </w:tblPr>
      <w:tblGrid>
        <w:gridCol w:w="4794"/>
        <w:gridCol w:w="4782"/>
      </w:tblGrid>
      <w:tr w:rsidR="00C00349" w:rsidRPr="00E9377A" w14:paraId="7FA3A0F3" w14:textId="77777777" w:rsidTr="003B3C0E">
        <w:trPr>
          <w:trHeight w:val="314"/>
        </w:trPr>
        <w:tc>
          <w:tcPr>
            <w:tcW w:w="4794" w:type="dxa"/>
            <w:shd w:val="clear" w:color="auto" w:fill="A6A6A6" w:themeFill="background1" w:themeFillShade="A6"/>
          </w:tcPr>
          <w:p w14:paraId="1CBF8C4D" w14:textId="3694717B" w:rsidR="00C00349" w:rsidRPr="00E9377A" w:rsidRDefault="009A2E68" w:rsidP="00C50AE9">
            <w:pPr>
              <w:rPr>
                <w:b/>
              </w:rPr>
            </w:pPr>
            <w:r>
              <w:rPr>
                <w:b/>
              </w:rPr>
              <w:t>Summary Statistics</w:t>
            </w:r>
          </w:p>
        </w:tc>
        <w:tc>
          <w:tcPr>
            <w:tcW w:w="4782" w:type="dxa"/>
            <w:shd w:val="clear" w:color="auto" w:fill="A6A6A6" w:themeFill="background1" w:themeFillShade="A6"/>
          </w:tcPr>
          <w:p w14:paraId="7B762CDA" w14:textId="59983954" w:rsidR="00C00349" w:rsidRPr="00E9377A" w:rsidRDefault="009A2E68" w:rsidP="00C50AE9">
            <w:pPr>
              <w:rPr>
                <w:b/>
              </w:rPr>
            </w:pPr>
            <w:r>
              <w:rPr>
                <w:b/>
              </w:rPr>
              <w:t>Incomplete Data</w:t>
            </w:r>
          </w:p>
        </w:tc>
      </w:tr>
      <w:tr w:rsidR="00C00349" w14:paraId="1EE79005" w14:textId="77777777" w:rsidTr="003B3C0E">
        <w:trPr>
          <w:trHeight w:val="2040"/>
        </w:trPr>
        <w:tc>
          <w:tcPr>
            <w:tcW w:w="4794" w:type="dxa"/>
          </w:tcPr>
          <w:p w14:paraId="10D0373C" w14:textId="4E24592B" w:rsidR="00C00349" w:rsidRDefault="00647B29" w:rsidP="00C00349">
            <w:r>
              <w:rPr>
                <w:noProof/>
              </w:rPr>
              <w:drawing>
                <wp:inline distT="0" distB="0" distL="0" distR="0" wp14:anchorId="637D98F7" wp14:editId="64622D78">
                  <wp:extent cx="2907456" cy="1295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1_proc_means.png"/>
                          <pic:cNvPicPr/>
                        </pic:nvPicPr>
                        <pic:blipFill>
                          <a:blip r:embed="rId10">
                            <a:extLst>
                              <a:ext uri="{28A0092B-C50C-407E-A947-70E740481C1C}">
                                <a14:useLocalDpi xmlns:a14="http://schemas.microsoft.com/office/drawing/2010/main" val="0"/>
                              </a:ext>
                            </a:extLst>
                          </a:blip>
                          <a:stretch>
                            <a:fillRect/>
                          </a:stretch>
                        </pic:blipFill>
                        <pic:spPr>
                          <a:xfrm>
                            <a:off x="0" y="0"/>
                            <a:ext cx="2908377" cy="1295811"/>
                          </a:xfrm>
                          <a:prstGeom prst="rect">
                            <a:avLst/>
                          </a:prstGeom>
                        </pic:spPr>
                      </pic:pic>
                    </a:graphicData>
                  </a:graphic>
                </wp:inline>
              </w:drawing>
            </w:r>
          </w:p>
        </w:tc>
        <w:tc>
          <w:tcPr>
            <w:tcW w:w="4782" w:type="dxa"/>
          </w:tcPr>
          <w:p w14:paraId="117E8ACD" w14:textId="77777777" w:rsidR="00647B29" w:rsidRDefault="00647B29" w:rsidP="00647B29">
            <w:r>
              <w:t>Columbia University</w:t>
            </w:r>
          </w:p>
          <w:p w14:paraId="3E9F89E7" w14:textId="77777777" w:rsidR="00647B29" w:rsidRDefault="00647B29" w:rsidP="00647B29">
            <w:r>
              <w:t>University of Bonn</w:t>
            </w:r>
          </w:p>
          <w:p w14:paraId="097A3BF0" w14:textId="77777777" w:rsidR="00647B29" w:rsidRDefault="00647B29" w:rsidP="00647B29">
            <w:r>
              <w:t>Purdue University</w:t>
            </w:r>
          </w:p>
          <w:p w14:paraId="315A1192" w14:textId="77777777" w:rsidR="00647B29" w:rsidRDefault="00647B29" w:rsidP="00647B29">
            <w:r>
              <w:t>University of Florida</w:t>
            </w:r>
          </w:p>
          <w:p w14:paraId="6760EE65" w14:textId="77777777" w:rsidR="00647B29" w:rsidRDefault="00647B29" w:rsidP="00647B29">
            <w:r>
              <w:t>Yeshiva University</w:t>
            </w:r>
          </w:p>
          <w:p w14:paraId="1EE3A96D" w14:textId="6C8BE6DB" w:rsidR="00C00349" w:rsidRDefault="00C00349" w:rsidP="00C50AE9">
            <w:pPr>
              <w:rPr>
                <w:noProof/>
              </w:rPr>
            </w:pPr>
          </w:p>
        </w:tc>
      </w:tr>
      <w:tr w:rsidR="005C773D" w14:paraId="35075B46" w14:textId="77777777" w:rsidTr="003B3C0E">
        <w:trPr>
          <w:trHeight w:val="287"/>
        </w:trPr>
        <w:tc>
          <w:tcPr>
            <w:tcW w:w="4794" w:type="dxa"/>
          </w:tcPr>
          <w:p w14:paraId="6AC21D47" w14:textId="465F5EF9" w:rsidR="00647B29" w:rsidRPr="00C00349" w:rsidRDefault="00E11DE2" w:rsidP="00C50AE9">
            <w:pPr>
              <w:rPr>
                <w:i/>
              </w:rPr>
            </w:pPr>
            <w:r>
              <w:rPr>
                <w:i/>
              </w:rPr>
              <w:t>Figure</w:t>
            </w:r>
            <w:r w:rsidR="002D045B">
              <w:rPr>
                <w:i/>
              </w:rPr>
              <w:t xml:space="preserve"> 3</w:t>
            </w:r>
            <w:r w:rsidR="00647B29">
              <w:rPr>
                <w:i/>
              </w:rPr>
              <w:t>. Summary statistics for response and explanatory variables.</w:t>
            </w:r>
          </w:p>
        </w:tc>
        <w:tc>
          <w:tcPr>
            <w:tcW w:w="4782" w:type="dxa"/>
          </w:tcPr>
          <w:p w14:paraId="33EA0D27" w14:textId="3733A38B" w:rsidR="00647B29" w:rsidRPr="00EC118C" w:rsidRDefault="00E11DE2" w:rsidP="00C50AE9">
            <w:pPr>
              <w:rPr>
                <w:i/>
                <w:noProof/>
              </w:rPr>
            </w:pPr>
            <w:r>
              <w:rPr>
                <w:i/>
                <w:noProof/>
              </w:rPr>
              <w:t>Figure</w:t>
            </w:r>
            <w:r w:rsidR="002D045B">
              <w:rPr>
                <w:i/>
                <w:noProof/>
              </w:rPr>
              <w:t xml:space="preserve"> 4</w:t>
            </w:r>
            <w:r w:rsidR="00647B29">
              <w:rPr>
                <w:i/>
                <w:noProof/>
              </w:rPr>
              <w:t>. Universities with missing ‘income’ variables.</w:t>
            </w:r>
          </w:p>
        </w:tc>
      </w:tr>
      <w:tr w:rsidR="00E2654F" w:rsidRPr="00590AB5" w14:paraId="48701CF3" w14:textId="77777777" w:rsidTr="00590AB5">
        <w:tc>
          <w:tcPr>
            <w:tcW w:w="9576" w:type="dxa"/>
            <w:gridSpan w:val="2"/>
            <w:shd w:val="clear" w:color="auto" w:fill="A6A6A6" w:themeFill="background1" w:themeFillShade="A6"/>
          </w:tcPr>
          <w:p w14:paraId="799446E1" w14:textId="26D5511B" w:rsidR="00D6215E" w:rsidRPr="00590AB5" w:rsidRDefault="00590AB5" w:rsidP="00E256E7">
            <w:pPr>
              <w:rPr>
                <w:b/>
              </w:rPr>
            </w:pPr>
            <w:r w:rsidRPr="00590AB5">
              <w:rPr>
                <w:b/>
                <w:noProof/>
              </w:rPr>
              <w:t>Scatter Plot Matrix</w:t>
            </w:r>
          </w:p>
        </w:tc>
      </w:tr>
      <w:tr w:rsidR="00590AB5" w:rsidRPr="00182E54" w14:paraId="1AC18193" w14:textId="77777777" w:rsidTr="003B3C0E">
        <w:tc>
          <w:tcPr>
            <w:tcW w:w="9576" w:type="dxa"/>
            <w:gridSpan w:val="2"/>
          </w:tcPr>
          <w:p w14:paraId="6E785E2B" w14:textId="211C86DF" w:rsidR="00590AB5" w:rsidRDefault="00590AB5" w:rsidP="00D6215E">
            <w:pPr>
              <w:rPr>
                <w:i/>
                <w:noProof/>
              </w:rPr>
            </w:pPr>
            <w:r>
              <w:rPr>
                <w:noProof/>
              </w:rPr>
              <w:lastRenderedPageBreak/>
              <w:drawing>
                <wp:inline distT="0" distB="0" distL="0" distR="0" wp14:anchorId="5E6EE3CA" wp14:editId="5F25A0DC">
                  <wp:extent cx="2794635" cy="27946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2_scatterplot.png"/>
                          <pic:cNvPicPr/>
                        </pic:nvPicPr>
                        <pic:blipFill>
                          <a:blip r:embed="rId11">
                            <a:extLst>
                              <a:ext uri="{28A0092B-C50C-407E-A947-70E740481C1C}">
                                <a14:useLocalDpi xmlns:a14="http://schemas.microsoft.com/office/drawing/2010/main" val="0"/>
                              </a:ext>
                            </a:extLst>
                          </a:blip>
                          <a:stretch>
                            <a:fillRect/>
                          </a:stretch>
                        </pic:blipFill>
                        <pic:spPr>
                          <a:xfrm>
                            <a:off x="0" y="0"/>
                            <a:ext cx="2794635" cy="2794635"/>
                          </a:xfrm>
                          <a:prstGeom prst="rect">
                            <a:avLst/>
                          </a:prstGeom>
                        </pic:spPr>
                      </pic:pic>
                    </a:graphicData>
                  </a:graphic>
                </wp:inline>
              </w:drawing>
            </w:r>
          </w:p>
        </w:tc>
      </w:tr>
      <w:tr w:rsidR="009B0B12" w:rsidRPr="00182E54" w14:paraId="2B61A49D" w14:textId="77777777" w:rsidTr="003B3C0E">
        <w:tc>
          <w:tcPr>
            <w:tcW w:w="9576" w:type="dxa"/>
            <w:gridSpan w:val="2"/>
          </w:tcPr>
          <w:p w14:paraId="0D23A445" w14:textId="0AC3DDA4" w:rsidR="009B0B12" w:rsidRPr="00182E54" w:rsidRDefault="00E11DE2" w:rsidP="00D6215E">
            <w:pPr>
              <w:rPr>
                <w:i/>
                <w:noProof/>
              </w:rPr>
            </w:pPr>
            <w:r>
              <w:rPr>
                <w:i/>
                <w:noProof/>
              </w:rPr>
              <w:t>Figure</w:t>
            </w:r>
            <w:r w:rsidR="002D045B">
              <w:rPr>
                <w:i/>
                <w:noProof/>
              </w:rPr>
              <w:t xml:space="preserve"> 5</w:t>
            </w:r>
            <w:r w:rsidR="00D6215E" w:rsidRPr="00182E54">
              <w:rPr>
                <w:i/>
                <w:noProof/>
              </w:rPr>
              <w:t>. Scatterplot matrix of response and explanatory variables. Visual confirmation shows some multicollinearity but no nonlinear relationships.</w:t>
            </w:r>
          </w:p>
        </w:tc>
      </w:tr>
      <w:tr w:rsidR="00C4573A" w:rsidRPr="00C4573A" w14:paraId="183E9FC5" w14:textId="77777777" w:rsidTr="00C4573A">
        <w:tc>
          <w:tcPr>
            <w:tcW w:w="9576" w:type="dxa"/>
            <w:gridSpan w:val="2"/>
            <w:shd w:val="clear" w:color="auto" w:fill="A6A6A6" w:themeFill="background1" w:themeFillShade="A6"/>
          </w:tcPr>
          <w:p w14:paraId="172597D6" w14:textId="358416CB" w:rsidR="00C4573A" w:rsidRPr="00C4573A" w:rsidRDefault="00C4573A" w:rsidP="00D6215E">
            <w:pPr>
              <w:rPr>
                <w:b/>
                <w:noProof/>
              </w:rPr>
            </w:pPr>
            <w:r w:rsidRPr="00C4573A">
              <w:rPr>
                <w:b/>
                <w:noProof/>
              </w:rPr>
              <w:t>Correlation Matrix</w:t>
            </w:r>
          </w:p>
        </w:tc>
      </w:tr>
      <w:tr w:rsidR="00DA7E20" w14:paraId="2613B24A" w14:textId="77777777" w:rsidTr="003B3C0E">
        <w:tc>
          <w:tcPr>
            <w:tcW w:w="9576" w:type="dxa"/>
            <w:gridSpan w:val="2"/>
          </w:tcPr>
          <w:p w14:paraId="2DA82156" w14:textId="6A5D1681" w:rsidR="00DA7E20" w:rsidRDefault="006D353C" w:rsidP="00C50AE9">
            <w:r>
              <w:rPr>
                <w:noProof/>
              </w:rPr>
              <w:drawing>
                <wp:inline distT="0" distB="0" distL="0" distR="0" wp14:anchorId="103543B5" wp14:editId="041C8003">
                  <wp:extent cx="5943600" cy="39350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splay3_correlatio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35095"/>
                          </a:xfrm>
                          <a:prstGeom prst="rect">
                            <a:avLst/>
                          </a:prstGeom>
                        </pic:spPr>
                      </pic:pic>
                    </a:graphicData>
                  </a:graphic>
                </wp:inline>
              </w:drawing>
            </w:r>
          </w:p>
        </w:tc>
      </w:tr>
      <w:tr w:rsidR="00DA7E20" w:rsidRPr="005C773D" w14:paraId="3DC323BC" w14:textId="77777777" w:rsidTr="003B3C0E">
        <w:tc>
          <w:tcPr>
            <w:tcW w:w="9576" w:type="dxa"/>
            <w:gridSpan w:val="2"/>
          </w:tcPr>
          <w:p w14:paraId="5CAB96C0" w14:textId="71BBF341" w:rsidR="00DA7E20" w:rsidRPr="005C773D" w:rsidRDefault="00E11DE2" w:rsidP="003C5D6F">
            <w:pPr>
              <w:rPr>
                <w:i/>
              </w:rPr>
            </w:pPr>
            <w:r>
              <w:rPr>
                <w:i/>
              </w:rPr>
              <w:t>Figure</w:t>
            </w:r>
            <w:r w:rsidR="002D045B">
              <w:rPr>
                <w:i/>
              </w:rPr>
              <w:t xml:space="preserve"> 6</w:t>
            </w:r>
            <w:r w:rsidR="005C773D" w:rsidRPr="005C773D">
              <w:rPr>
                <w:i/>
              </w:rPr>
              <w:t xml:space="preserve">. Pearson Correlation Matrix. The red boxes </w:t>
            </w:r>
            <w:r w:rsidR="003C5D6F">
              <w:rPr>
                <w:i/>
              </w:rPr>
              <w:t>highlight the</w:t>
            </w:r>
            <w:r w:rsidR="006D353C">
              <w:rPr>
                <w:i/>
              </w:rPr>
              <w:t xml:space="preserve"> variables with high</w:t>
            </w:r>
            <w:r w:rsidR="003C5D6F">
              <w:rPr>
                <w:i/>
              </w:rPr>
              <w:t xml:space="preserve"> </w:t>
            </w:r>
            <w:proofErr w:type="spellStart"/>
            <w:r w:rsidR="005C773D" w:rsidRPr="005C773D">
              <w:rPr>
                <w:i/>
              </w:rPr>
              <w:t>multicollinearity</w:t>
            </w:r>
            <w:proofErr w:type="spellEnd"/>
            <w:r w:rsidR="005C773D" w:rsidRPr="005C773D">
              <w:rPr>
                <w:i/>
              </w:rPr>
              <w:t>.</w:t>
            </w:r>
          </w:p>
        </w:tc>
      </w:tr>
    </w:tbl>
    <w:p w14:paraId="51BDE311" w14:textId="05829F26" w:rsidR="005F330D" w:rsidRDefault="005F330D" w:rsidP="005F330D">
      <w:pPr>
        <w:pStyle w:val="Heading1"/>
        <w:rPr>
          <w:rFonts w:ascii="Arial" w:hAnsi="Arial"/>
          <w:sz w:val="22"/>
          <w:szCs w:val="22"/>
          <w:u w:val="single"/>
        </w:rPr>
      </w:pPr>
      <w:r>
        <w:rPr>
          <w:rFonts w:ascii="Arial" w:hAnsi="Arial"/>
          <w:sz w:val="22"/>
          <w:szCs w:val="22"/>
          <w:u w:val="single"/>
        </w:rPr>
        <w:t>PCA Results</w:t>
      </w:r>
    </w:p>
    <w:p w14:paraId="31DA7E3C" w14:textId="30BE9270" w:rsidR="005F330D" w:rsidRDefault="00182E54" w:rsidP="005F330D">
      <w:r>
        <w:t xml:space="preserve">As we have fulfilled the suitability </w:t>
      </w:r>
      <w:r w:rsidR="00824CCD">
        <w:t>for</w:t>
      </w:r>
      <w:r>
        <w:t xml:space="preserve"> PCA</w:t>
      </w:r>
      <w:r w:rsidR="00824CCD">
        <w:t xml:space="preserve"> analysis</w:t>
      </w:r>
      <w:r w:rsidR="00C76AF4">
        <w:t>,</w:t>
      </w:r>
      <w:r w:rsidR="00A0602D">
        <w:t xml:space="preserve"> we can continue the analysis using the correlation matrix.</w:t>
      </w:r>
      <w:r w:rsidR="00C76AF4">
        <w:t xml:space="preserve"> </w:t>
      </w:r>
      <w:r w:rsidR="00A0602D">
        <w:t>We examine the</w:t>
      </w:r>
      <w:r w:rsidR="00824CCD">
        <w:t xml:space="preserve"> </w:t>
      </w:r>
      <w:r w:rsidR="00A0602D">
        <w:t xml:space="preserve">Scree </w:t>
      </w:r>
      <w:r w:rsidR="00022D55">
        <w:t xml:space="preserve">Plot as shown on </w:t>
      </w:r>
      <w:r w:rsidR="00E11DE2">
        <w:t>Figure</w:t>
      </w:r>
      <w:r w:rsidR="00022D55">
        <w:t xml:space="preserve"> 7</w:t>
      </w:r>
      <w:r w:rsidR="00824CCD">
        <w:t xml:space="preserve">. Unfortunately, we do not see a steep drop, so </w:t>
      </w:r>
      <w:r w:rsidR="00824CCD">
        <w:lastRenderedPageBreak/>
        <w:t>there is not clear-cut answer at this point as to the number of principal components to retain. However, we do note that the first four principal components account for approximately</w:t>
      </w:r>
      <w:r w:rsidR="00F71EB1">
        <w:t xml:space="preserve"> 80% of the cumulativ</w:t>
      </w:r>
      <w:r w:rsidR="00022D55">
        <w:t xml:space="preserve">e variance as shown in </w:t>
      </w:r>
      <w:r w:rsidR="00E11DE2">
        <w:t>Figure</w:t>
      </w:r>
      <w:r w:rsidR="00022D55">
        <w:t xml:space="preserve"> 8 and 9</w:t>
      </w:r>
      <w:r w:rsidR="00F71EB1">
        <w:t>.</w:t>
      </w:r>
      <w:r w:rsidR="009E7F84">
        <w:t xml:space="preserve"> We note the close grouping of research/teaching in Principal Component 1 and </w:t>
      </w:r>
      <w:proofErr w:type="spellStart"/>
      <w:r w:rsidR="009E7F84">
        <w:t>international_students</w:t>
      </w:r>
      <w:proofErr w:type="spellEnd"/>
      <w:r w:rsidR="009E7F84">
        <w:t>/international in Principal Component 2.</w:t>
      </w:r>
    </w:p>
    <w:tbl>
      <w:tblPr>
        <w:tblStyle w:val="TableGrid"/>
        <w:tblW w:w="0" w:type="auto"/>
        <w:tblLook w:val="04A0" w:firstRow="1" w:lastRow="0" w:firstColumn="1" w:lastColumn="0" w:noHBand="0" w:noVBand="1"/>
      </w:tblPr>
      <w:tblGrid>
        <w:gridCol w:w="4890"/>
        <w:gridCol w:w="4686"/>
      </w:tblGrid>
      <w:tr w:rsidR="00277BDF" w:rsidRPr="00463920" w14:paraId="28DCDEC8" w14:textId="77777777" w:rsidTr="00277BDF">
        <w:tc>
          <w:tcPr>
            <w:tcW w:w="4788" w:type="dxa"/>
            <w:shd w:val="clear" w:color="auto" w:fill="A6A6A6" w:themeFill="background1" w:themeFillShade="A6"/>
          </w:tcPr>
          <w:p w14:paraId="39D57318" w14:textId="3C5B78CC" w:rsidR="00277BDF" w:rsidRPr="00463920" w:rsidRDefault="00277BDF" w:rsidP="00C50AE9">
            <w:pPr>
              <w:rPr>
                <w:b/>
                <w:noProof/>
              </w:rPr>
            </w:pPr>
            <w:r w:rsidRPr="00463920">
              <w:rPr>
                <w:b/>
                <w:noProof/>
              </w:rPr>
              <w:t>Scree Plot</w:t>
            </w:r>
          </w:p>
        </w:tc>
        <w:tc>
          <w:tcPr>
            <w:tcW w:w="4788" w:type="dxa"/>
            <w:shd w:val="clear" w:color="auto" w:fill="A6A6A6" w:themeFill="background1" w:themeFillShade="A6"/>
          </w:tcPr>
          <w:p w14:paraId="4CAD2121" w14:textId="1C35F14B" w:rsidR="00277BDF" w:rsidRPr="00463920" w:rsidRDefault="00277BDF" w:rsidP="00C50AE9">
            <w:pPr>
              <w:rPr>
                <w:b/>
                <w:noProof/>
              </w:rPr>
            </w:pPr>
            <w:r w:rsidRPr="00463920">
              <w:rPr>
                <w:b/>
                <w:noProof/>
              </w:rPr>
              <w:t>Cumulative Variance</w:t>
            </w:r>
          </w:p>
        </w:tc>
      </w:tr>
      <w:tr w:rsidR="00DA7E20" w14:paraId="5F45A828" w14:textId="77777777" w:rsidTr="00DA7E20">
        <w:tc>
          <w:tcPr>
            <w:tcW w:w="4788" w:type="dxa"/>
          </w:tcPr>
          <w:p w14:paraId="6AC00FBC" w14:textId="5A1C7403" w:rsidR="00DA7E20" w:rsidRDefault="00DA7E20" w:rsidP="00C50AE9">
            <w:r>
              <w:rPr>
                <w:noProof/>
              </w:rPr>
              <w:drawing>
                <wp:inline distT="0" distB="0" distL="0" distR="0" wp14:anchorId="109B7A13" wp14:editId="18DC1A0D">
                  <wp:extent cx="2743200" cy="2614613"/>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4a_scree.png"/>
                          <pic:cNvPicPr/>
                        </pic:nvPicPr>
                        <pic:blipFill>
                          <a:blip r:embed="rId13">
                            <a:extLst>
                              <a:ext uri="{28A0092B-C50C-407E-A947-70E740481C1C}">
                                <a14:useLocalDpi xmlns:a14="http://schemas.microsoft.com/office/drawing/2010/main" val="0"/>
                              </a:ext>
                            </a:extLst>
                          </a:blip>
                          <a:stretch>
                            <a:fillRect/>
                          </a:stretch>
                        </pic:blipFill>
                        <pic:spPr>
                          <a:xfrm>
                            <a:off x="0" y="0"/>
                            <a:ext cx="2743200" cy="2614613"/>
                          </a:xfrm>
                          <a:prstGeom prst="rect">
                            <a:avLst/>
                          </a:prstGeom>
                        </pic:spPr>
                      </pic:pic>
                    </a:graphicData>
                  </a:graphic>
                </wp:inline>
              </w:drawing>
            </w:r>
          </w:p>
        </w:tc>
        <w:tc>
          <w:tcPr>
            <w:tcW w:w="4788" w:type="dxa"/>
          </w:tcPr>
          <w:p w14:paraId="65288A11" w14:textId="43D6E1B7" w:rsidR="00DA7E20" w:rsidRDefault="00DA7E20" w:rsidP="00C50AE9">
            <w:r>
              <w:rPr>
                <w:noProof/>
              </w:rPr>
              <w:drawing>
                <wp:inline distT="0" distB="0" distL="0" distR="0" wp14:anchorId="259E10E2" wp14:editId="1002045E">
                  <wp:extent cx="2716530" cy="3067050"/>
                  <wp:effectExtent l="0" t="0" r="127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4a_variance.png"/>
                          <pic:cNvPicPr/>
                        </pic:nvPicPr>
                        <pic:blipFill>
                          <a:blip r:embed="rId14">
                            <a:extLst>
                              <a:ext uri="{28A0092B-C50C-407E-A947-70E740481C1C}">
                                <a14:useLocalDpi xmlns:a14="http://schemas.microsoft.com/office/drawing/2010/main" val="0"/>
                              </a:ext>
                            </a:extLst>
                          </a:blip>
                          <a:stretch>
                            <a:fillRect/>
                          </a:stretch>
                        </pic:blipFill>
                        <pic:spPr>
                          <a:xfrm>
                            <a:off x="0" y="0"/>
                            <a:ext cx="2716792" cy="3067346"/>
                          </a:xfrm>
                          <a:prstGeom prst="rect">
                            <a:avLst/>
                          </a:prstGeom>
                        </pic:spPr>
                      </pic:pic>
                    </a:graphicData>
                  </a:graphic>
                </wp:inline>
              </w:drawing>
            </w:r>
          </w:p>
        </w:tc>
      </w:tr>
      <w:tr w:rsidR="009B0B12" w:rsidRPr="00D6215E" w14:paraId="2CFEFB1D" w14:textId="77777777" w:rsidTr="00DA7E20">
        <w:tc>
          <w:tcPr>
            <w:tcW w:w="4788" w:type="dxa"/>
          </w:tcPr>
          <w:p w14:paraId="2EA84CBE" w14:textId="3EC05577" w:rsidR="009B0B12" w:rsidRPr="00D6215E" w:rsidRDefault="00E11DE2" w:rsidP="00C50AE9">
            <w:pPr>
              <w:rPr>
                <w:i/>
                <w:noProof/>
              </w:rPr>
            </w:pPr>
            <w:r>
              <w:rPr>
                <w:i/>
                <w:noProof/>
              </w:rPr>
              <w:t>Figure</w:t>
            </w:r>
            <w:r w:rsidR="002D045B">
              <w:rPr>
                <w:i/>
                <w:noProof/>
              </w:rPr>
              <w:t xml:space="preserve"> 7</w:t>
            </w:r>
            <w:r w:rsidR="00D6215E" w:rsidRPr="00D6215E">
              <w:rPr>
                <w:i/>
                <w:noProof/>
              </w:rPr>
              <w:t>. Scree Plot</w:t>
            </w:r>
            <w:r w:rsidR="002C5B6B">
              <w:rPr>
                <w:i/>
                <w:noProof/>
              </w:rPr>
              <w:t xml:space="preserve"> showing no sharp drop off.</w:t>
            </w:r>
          </w:p>
        </w:tc>
        <w:tc>
          <w:tcPr>
            <w:tcW w:w="4788" w:type="dxa"/>
          </w:tcPr>
          <w:p w14:paraId="0994D012" w14:textId="2F9A0F3E" w:rsidR="009B0B12" w:rsidRPr="00D6215E" w:rsidRDefault="00E11DE2" w:rsidP="00C50AE9">
            <w:pPr>
              <w:rPr>
                <w:i/>
                <w:noProof/>
              </w:rPr>
            </w:pPr>
            <w:r>
              <w:rPr>
                <w:i/>
                <w:noProof/>
              </w:rPr>
              <w:t>Figure</w:t>
            </w:r>
            <w:r w:rsidR="002D045B">
              <w:rPr>
                <w:i/>
                <w:noProof/>
              </w:rPr>
              <w:t xml:space="preserve"> 8</w:t>
            </w:r>
            <w:r w:rsidR="00D6215E">
              <w:rPr>
                <w:i/>
                <w:noProof/>
              </w:rPr>
              <w:t xml:space="preserve">. Cumulative variance </w:t>
            </w:r>
            <w:r w:rsidR="006D67A8">
              <w:rPr>
                <w:i/>
                <w:noProof/>
              </w:rPr>
              <w:t>as explained by each principal component.</w:t>
            </w:r>
          </w:p>
        </w:tc>
      </w:tr>
      <w:tr w:rsidR="004F2004" w:rsidRPr="00A0602D" w14:paraId="4035D643" w14:textId="77777777" w:rsidTr="00A0602D">
        <w:tc>
          <w:tcPr>
            <w:tcW w:w="4788" w:type="dxa"/>
            <w:shd w:val="clear" w:color="auto" w:fill="A6A6A6" w:themeFill="background1" w:themeFillShade="A6"/>
          </w:tcPr>
          <w:p w14:paraId="2322F4B1" w14:textId="5F550B85" w:rsidR="004F2004" w:rsidRPr="00A0602D" w:rsidRDefault="00A0602D" w:rsidP="00C50AE9">
            <w:pPr>
              <w:rPr>
                <w:b/>
                <w:noProof/>
              </w:rPr>
            </w:pPr>
            <w:r w:rsidRPr="00A0602D">
              <w:rPr>
                <w:b/>
                <w:noProof/>
              </w:rPr>
              <w:t>Eigenvalues</w:t>
            </w:r>
          </w:p>
        </w:tc>
        <w:tc>
          <w:tcPr>
            <w:tcW w:w="4788" w:type="dxa"/>
            <w:shd w:val="clear" w:color="auto" w:fill="A6A6A6" w:themeFill="background1" w:themeFillShade="A6"/>
          </w:tcPr>
          <w:p w14:paraId="0F11FD79" w14:textId="438DAF49" w:rsidR="004F2004" w:rsidRPr="00A0602D" w:rsidRDefault="00463920" w:rsidP="00C50AE9">
            <w:pPr>
              <w:rPr>
                <w:b/>
                <w:noProof/>
              </w:rPr>
            </w:pPr>
            <w:r>
              <w:rPr>
                <w:b/>
                <w:noProof/>
              </w:rPr>
              <w:t>Principal Components 1 &amp; 2</w:t>
            </w:r>
          </w:p>
        </w:tc>
      </w:tr>
      <w:tr w:rsidR="00DA7E20" w14:paraId="56FA6AAA" w14:textId="77777777" w:rsidTr="00DA7E20">
        <w:tc>
          <w:tcPr>
            <w:tcW w:w="4788" w:type="dxa"/>
          </w:tcPr>
          <w:p w14:paraId="0E50FBA6" w14:textId="69066EEB" w:rsidR="00DA7E20" w:rsidRDefault="005C0099" w:rsidP="00C50AE9">
            <w:r>
              <w:rPr>
                <w:noProof/>
              </w:rPr>
              <w:drawing>
                <wp:inline distT="0" distB="0" distL="0" distR="0" wp14:anchorId="36DA2BC7" wp14:editId="11DB2184">
                  <wp:extent cx="2975287" cy="2616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6_eigenvalues_cm.png"/>
                          <pic:cNvPicPr/>
                        </pic:nvPicPr>
                        <pic:blipFill>
                          <a:blip r:embed="rId15">
                            <a:extLst>
                              <a:ext uri="{28A0092B-C50C-407E-A947-70E740481C1C}">
                                <a14:useLocalDpi xmlns:a14="http://schemas.microsoft.com/office/drawing/2010/main" val="0"/>
                              </a:ext>
                            </a:extLst>
                          </a:blip>
                          <a:stretch>
                            <a:fillRect/>
                          </a:stretch>
                        </pic:blipFill>
                        <pic:spPr>
                          <a:xfrm>
                            <a:off x="0" y="0"/>
                            <a:ext cx="2975407" cy="2616305"/>
                          </a:xfrm>
                          <a:prstGeom prst="rect">
                            <a:avLst/>
                          </a:prstGeom>
                        </pic:spPr>
                      </pic:pic>
                    </a:graphicData>
                  </a:graphic>
                </wp:inline>
              </w:drawing>
            </w:r>
          </w:p>
        </w:tc>
        <w:tc>
          <w:tcPr>
            <w:tcW w:w="4788" w:type="dxa"/>
          </w:tcPr>
          <w:p w14:paraId="53D2BF1C" w14:textId="55DF081B" w:rsidR="00DA7E20" w:rsidRDefault="009D6611" w:rsidP="00C50AE9">
            <w:r>
              <w:rPr>
                <w:noProof/>
              </w:rPr>
              <w:drawing>
                <wp:inline distT="0" distB="0" distL="0" distR="0" wp14:anchorId="6846C6AD" wp14:editId="3F5A9009">
                  <wp:extent cx="2844800" cy="284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5_pc12.png"/>
                          <pic:cNvPicPr/>
                        </pic:nvPicPr>
                        <pic:blipFill>
                          <a:blip r:embed="rId16">
                            <a:extLst>
                              <a:ext uri="{28A0092B-C50C-407E-A947-70E740481C1C}">
                                <a14:useLocalDpi xmlns:a14="http://schemas.microsoft.com/office/drawing/2010/main" val="0"/>
                              </a:ext>
                            </a:extLst>
                          </a:blip>
                          <a:stretch>
                            <a:fillRect/>
                          </a:stretch>
                        </pic:blipFill>
                        <pic:spPr>
                          <a:xfrm>
                            <a:off x="0" y="0"/>
                            <a:ext cx="2844800" cy="2844800"/>
                          </a:xfrm>
                          <a:prstGeom prst="rect">
                            <a:avLst/>
                          </a:prstGeom>
                        </pic:spPr>
                      </pic:pic>
                    </a:graphicData>
                  </a:graphic>
                </wp:inline>
              </w:drawing>
            </w:r>
          </w:p>
        </w:tc>
      </w:tr>
      <w:tr w:rsidR="00F71EB1" w:rsidRPr="00F71EB1" w14:paraId="2085B9A8" w14:textId="77777777" w:rsidTr="00F71EB1">
        <w:trPr>
          <w:trHeight w:val="251"/>
        </w:trPr>
        <w:tc>
          <w:tcPr>
            <w:tcW w:w="4788" w:type="dxa"/>
          </w:tcPr>
          <w:p w14:paraId="33C83950" w14:textId="06508173" w:rsidR="00F71EB1" w:rsidRPr="00F71EB1" w:rsidRDefault="00E11DE2" w:rsidP="00C50AE9">
            <w:pPr>
              <w:rPr>
                <w:i/>
                <w:noProof/>
              </w:rPr>
            </w:pPr>
            <w:r>
              <w:rPr>
                <w:i/>
                <w:noProof/>
              </w:rPr>
              <w:t>Figure</w:t>
            </w:r>
            <w:r w:rsidR="002D045B">
              <w:rPr>
                <w:i/>
                <w:noProof/>
              </w:rPr>
              <w:t xml:space="preserve"> 9</w:t>
            </w:r>
            <w:r w:rsidR="00F71EB1" w:rsidRPr="00F71EB1">
              <w:rPr>
                <w:i/>
                <w:noProof/>
              </w:rPr>
              <w:t>.</w:t>
            </w:r>
            <w:r w:rsidR="00F71EB1">
              <w:rPr>
                <w:i/>
                <w:noProof/>
              </w:rPr>
              <w:t xml:space="preserve"> Eigenvalues of the Correlation Matrix.</w:t>
            </w:r>
          </w:p>
        </w:tc>
        <w:tc>
          <w:tcPr>
            <w:tcW w:w="4788" w:type="dxa"/>
          </w:tcPr>
          <w:p w14:paraId="234B72F4" w14:textId="08393E6E" w:rsidR="00F71EB1" w:rsidRPr="00F71EB1" w:rsidRDefault="00E11DE2" w:rsidP="00C50AE9">
            <w:pPr>
              <w:rPr>
                <w:i/>
                <w:noProof/>
              </w:rPr>
            </w:pPr>
            <w:r>
              <w:rPr>
                <w:i/>
                <w:noProof/>
              </w:rPr>
              <w:t>Figure</w:t>
            </w:r>
            <w:r w:rsidR="002D045B">
              <w:rPr>
                <w:i/>
                <w:noProof/>
              </w:rPr>
              <w:t xml:space="preserve"> 10</w:t>
            </w:r>
            <w:r w:rsidR="00F71EB1" w:rsidRPr="00F71EB1">
              <w:rPr>
                <w:i/>
                <w:noProof/>
              </w:rPr>
              <w:t>.</w:t>
            </w:r>
            <w:r w:rsidR="00F71EB1">
              <w:rPr>
                <w:i/>
                <w:noProof/>
              </w:rPr>
              <w:t xml:space="preserve"> First two principal components.</w:t>
            </w:r>
          </w:p>
        </w:tc>
      </w:tr>
    </w:tbl>
    <w:p w14:paraId="44CBE1D9" w14:textId="77777777" w:rsidR="00C50AE9" w:rsidRDefault="00C50AE9" w:rsidP="00C50AE9"/>
    <w:p w14:paraId="6152ED93" w14:textId="77777777" w:rsidR="00590AB5" w:rsidRDefault="00590AB5" w:rsidP="00C50AE9"/>
    <w:p w14:paraId="4570FD17" w14:textId="77777777" w:rsidR="00590AB5" w:rsidRDefault="00590AB5" w:rsidP="00C50AE9"/>
    <w:tbl>
      <w:tblPr>
        <w:tblStyle w:val="TableGrid"/>
        <w:tblW w:w="0" w:type="auto"/>
        <w:tblLook w:val="04A0" w:firstRow="1" w:lastRow="0" w:firstColumn="1" w:lastColumn="0" w:noHBand="0" w:noVBand="1"/>
      </w:tblPr>
      <w:tblGrid>
        <w:gridCol w:w="9576"/>
      </w:tblGrid>
      <w:tr w:rsidR="005C0099" w:rsidRPr="00590AB5" w14:paraId="775C6138" w14:textId="77777777" w:rsidTr="00590AB5">
        <w:tc>
          <w:tcPr>
            <w:tcW w:w="9576" w:type="dxa"/>
            <w:shd w:val="clear" w:color="auto" w:fill="A6A6A6" w:themeFill="background1" w:themeFillShade="A6"/>
          </w:tcPr>
          <w:p w14:paraId="109676E8" w14:textId="3D6B8826" w:rsidR="005C0099" w:rsidRPr="00590AB5" w:rsidRDefault="00590AB5" w:rsidP="00C50AE9">
            <w:pPr>
              <w:rPr>
                <w:b/>
              </w:rPr>
            </w:pPr>
            <w:r w:rsidRPr="00590AB5">
              <w:rPr>
                <w:b/>
                <w:noProof/>
              </w:rPr>
              <w:t>Eigenvectors</w:t>
            </w:r>
          </w:p>
        </w:tc>
      </w:tr>
      <w:tr w:rsidR="00590AB5" w:rsidRPr="002D045B" w14:paraId="1E186D55" w14:textId="77777777" w:rsidTr="00E928A3">
        <w:trPr>
          <w:trHeight w:val="260"/>
        </w:trPr>
        <w:tc>
          <w:tcPr>
            <w:tcW w:w="9576" w:type="dxa"/>
          </w:tcPr>
          <w:p w14:paraId="09084A56" w14:textId="7B031D91" w:rsidR="00590AB5" w:rsidRDefault="00590AB5" w:rsidP="00C50AE9">
            <w:pPr>
              <w:rPr>
                <w:i/>
              </w:rPr>
            </w:pPr>
            <w:r>
              <w:rPr>
                <w:noProof/>
              </w:rPr>
              <w:drawing>
                <wp:inline distT="0" distB="0" distL="0" distR="0" wp14:anchorId="41923ABD" wp14:editId="21E43044">
                  <wp:extent cx="5943600" cy="244983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splay7_eigenvector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449830"/>
                          </a:xfrm>
                          <a:prstGeom prst="rect">
                            <a:avLst/>
                          </a:prstGeom>
                        </pic:spPr>
                      </pic:pic>
                    </a:graphicData>
                  </a:graphic>
                </wp:inline>
              </w:drawing>
            </w:r>
          </w:p>
        </w:tc>
      </w:tr>
      <w:tr w:rsidR="005C0099" w:rsidRPr="002D045B" w14:paraId="6830A1B9" w14:textId="77777777" w:rsidTr="00E928A3">
        <w:trPr>
          <w:trHeight w:val="260"/>
        </w:trPr>
        <w:tc>
          <w:tcPr>
            <w:tcW w:w="9576" w:type="dxa"/>
          </w:tcPr>
          <w:p w14:paraId="2E0A9CDD" w14:textId="42C2A2DC" w:rsidR="005C0099" w:rsidRPr="002D045B" w:rsidRDefault="00E11DE2" w:rsidP="00C50AE9">
            <w:pPr>
              <w:rPr>
                <w:i/>
              </w:rPr>
            </w:pPr>
            <w:r>
              <w:rPr>
                <w:i/>
              </w:rPr>
              <w:t>Figure</w:t>
            </w:r>
            <w:r w:rsidR="002D045B" w:rsidRPr="002D045B">
              <w:rPr>
                <w:i/>
              </w:rPr>
              <w:t xml:space="preserve"> 11</w:t>
            </w:r>
            <w:r w:rsidR="00E928A3" w:rsidRPr="002D045B">
              <w:rPr>
                <w:i/>
              </w:rPr>
              <w:t>. Eigenvectors representing the loadings for the nine principal components.</w:t>
            </w:r>
          </w:p>
        </w:tc>
      </w:tr>
    </w:tbl>
    <w:p w14:paraId="10CEDDFA" w14:textId="43821B07" w:rsidR="00EF2A1D" w:rsidRDefault="00E408DB" w:rsidP="00C50AE9">
      <w:r>
        <w:t xml:space="preserve">We are now </w:t>
      </w:r>
      <w:r w:rsidR="00EC4E82">
        <w:t>at the point where we examine th</w:t>
      </w:r>
      <w:r w:rsidR="00022D55">
        <w:t xml:space="preserve">e Eigenvectors in </w:t>
      </w:r>
      <w:r w:rsidR="00E11DE2">
        <w:t>Figure</w:t>
      </w:r>
      <w:r w:rsidR="00022D55">
        <w:t xml:space="preserve"> 11</w:t>
      </w:r>
      <w:r w:rsidR="00AB732F">
        <w:t xml:space="preserve"> to see if we can associate real-world meaning to the principal components. </w:t>
      </w:r>
    </w:p>
    <w:p w14:paraId="54F1F8D0" w14:textId="0F5D39F5" w:rsidR="00F3328D" w:rsidRDefault="006652E8" w:rsidP="00C50AE9">
      <w:r>
        <w:t xml:space="preserve">The first principal component </w:t>
      </w:r>
      <w:r w:rsidR="00A031C0">
        <w:t>associates</w:t>
      </w:r>
      <w:r w:rsidR="00AB732F">
        <w:t xml:space="preserve"> the</w:t>
      </w:r>
      <w:r>
        <w:t xml:space="preserve"> traditional</w:t>
      </w:r>
      <w:r w:rsidR="00AB732F">
        <w:t xml:space="preserve"> </w:t>
      </w:r>
      <w:r>
        <w:t>measurements of</w:t>
      </w:r>
      <w:r w:rsidR="00A031C0">
        <w:t xml:space="preserve"> </w:t>
      </w:r>
      <w:r w:rsidR="00AB732F">
        <w:t>teaching and research</w:t>
      </w:r>
      <w:r w:rsidR="00A031C0">
        <w:t>.</w:t>
      </w:r>
      <w:r w:rsidR="002A46BB">
        <w:t xml:space="preserve"> That is, both increase in teaching and research have a positive association with the overall score, which isn’t too surprising. </w:t>
      </w:r>
      <w:r w:rsidR="00A031C0">
        <w:t>The second principal component groups international outlook and international students, having a negative association with the total score.</w:t>
      </w:r>
      <w:r w:rsidR="002A46BB">
        <w:t xml:space="preserve"> </w:t>
      </w:r>
      <w:r w:rsidR="00D12711">
        <w:t xml:space="preserve">Somewhat surprising at first glance, but remember the weighting for international is only 7.5%, and the negative association in this principal component confirms that teaching, research, and citations are the main driving factors. </w:t>
      </w:r>
      <w:r w:rsidR="0035423D">
        <w:t>The third principal component</w:t>
      </w:r>
      <w:r w:rsidR="00E90D71">
        <w:t xml:space="preserve"> shows almost perfect contrast between </w:t>
      </w:r>
      <w:r w:rsidR="008C3F36">
        <w:t xml:space="preserve">citations and student to staff ratio. </w:t>
      </w:r>
      <w:r w:rsidR="00D12711">
        <w:t xml:space="preserve">That is, citations decrease as the number of students to staff increases. </w:t>
      </w:r>
      <w:r w:rsidR="0035423D">
        <w:t>The fourth principal component</w:t>
      </w:r>
      <w:r w:rsidR="00451D66">
        <w:t xml:space="preserve"> groups number of stu</w:t>
      </w:r>
      <w:r>
        <w:t>dents and female to male ratio.</w:t>
      </w:r>
      <w:r w:rsidR="00D12711">
        <w:t xml:space="preserve"> That is the tendency to have a greater female to male population as the number of students increase.</w:t>
      </w:r>
    </w:p>
    <w:p w14:paraId="69479251" w14:textId="215544AB" w:rsidR="0035423D" w:rsidRDefault="00F3328D" w:rsidP="00C50AE9">
      <w:r>
        <w:t>Based on these</w:t>
      </w:r>
      <w:r w:rsidR="006652E8">
        <w:t xml:space="preserve"> rough</w:t>
      </w:r>
      <w:r>
        <w:t xml:space="preserve"> interpretations, it would seem reasonable to proceed with fitting a regression </w:t>
      </w:r>
      <w:r w:rsidR="009E7F84">
        <w:t>model, which</w:t>
      </w:r>
      <w:r w:rsidR="00022D55">
        <w:t xml:space="preserve"> according to </w:t>
      </w:r>
      <w:r w:rsidR="00E11DE2">
        <w:t>Figure</w:t>
      </w:r>
      <w:r w:rsidR="00022D55">
        <w:t xml:space="preserve"> 9</w:t>
      </w:r>
      <w:r>
        <w:t xml:space="preserve">, should account for 77.6% of the variation in the data.  </w:t>
      </w:r>
    </w:p>
    <w:p w14:paraId="1BE19D2A" w14:textId="288DEDDA" w:rsidR="006A37A5" w:rsidRDefault="006A37A5" w:rsidP="006A37A5">
      <w:pPr>
        <w:pStyle w:val="Heading1"/>
        <w:rPr>
          <w:rFonts w:ascii="Arial" w:hAnsi="Arial"/>
          <w:sz w:val="22"/>
          <w:szCs w:val="22"/>
          <w:u w:val="single"/>
        </w:rPr>
      </w:pPr>
      <w:r>
        <w:rPr>
          <w:rFonts w:ascii="Arial" w:hAnsi="Arial"/>
          <w:sz w:val="22"/>
          <w:szCs w:val="22"/>
          <w:u w:val="single"/>
        </w:rPr>
        <w:t>Model Selection</w:t>
      </w:r>
      <w:r w:rsidR="00E928A3">
        <w:rPr>
          <w:rFonts w:ascii="Arial" w:hAnsi="Arial"/>
          <w:sz w:val="22"/>
          <w:szCs w:val="22"/>
          <w:u w:val="single"/>
        </w:rPr>
        <w:t xml:space="preserve"> and Regression Analysis</w:t>
      </w:r>
    </w:p>
    <w:p w14:paraId="2C3C415B" w14:textId="164C17B5" w:rsidR="00022D55" w:rsidRDefault="00022D55" w:rsidP="00022D55">
      <w:r>
        <w:t>By definition, principal components are orthogonal, thus we can represent the regression equation as such:</w:t>
      </w:r>
    </w:p>
    <w:p w14:paraId="1EA40B24" w14:textId="4A9B9742" w:rsidR="00022D55" w:rsidRPr="00A271AC" w:rsidRDefault="00022D55" w:rsidP="00022D55">
      <w:pPr>
        <w:rPr>
          <w:rFonts w:eastAsiaTheme="minorEastAsia"/>
        </w:rPr>
      </w:pPr>
      <m:oMathPara>
        <m:oMath>
          <m:r>
            <w:rPr>
              <w:rFonts w:ascii="Cambria Math" w:hAnsi="Cambria Math"/>
            </w:rPr>
            <m:t xml:space="preserve">Total Score=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P</m:t>
              </m:r>
            </m:e>
            <m:sub>
              <m:r>
                <w:rPr>
                  <w:rFonts w:ascii="Cambria Math" w:hAnsi="Cambria Math"/>
                </w:rPr>
                <m:t>4</m:t>
              </m:r>
            </m:sub>
          </m:sSub>
        </m:oMath>
      </m:oMathPara>
    </w:p>
    <w:p w14:paraId="1387FC3E" w14:textId="1D07A939" w:rsidR="00A271AC" w:rsidRPr="00CF2C3D" w:rsidRDefault="00D12711" w:rsidP="00022D55">
      <w:pPr>
        <w:rPr>
          <w:rFonts w:eastAsiaTheme="minorEastAsia"/>
        </w:rPr>
      </w:pPr>
      <w:r>
        <w:rPr>
          <w:rFonts w:eastAsiaTheme="minorEastAsia"/>
        </w:rPr>
        <w:t>Where</w:t>
      </w:r>
      <w:r w:rsidR="00A271AC">
        <w:rPr>
          <w:rFonts w:eastAsiaTheme="minorEastAsia"/>
        </w:rPr>
        <w:t xml:space="preserve"> </w:t>
      </w:r>
      <w:r w:rsidR="007027D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m:t>
            </m:r>
          </m:sub>
        </m:sSub>
      </m:oMath>
      <w:r w:rsidR="00A271AC">
        <w:rPr>
          <w:rFonts w:eastAsiaTheme="minorEastAsia"/>
        </w:rPr>
        <w:t xml:space="preserve"> are principal components.</w:t>
      </w:r>
    </w:p>
    <w:tbl>
      <w:tblPr>
        <w:tblStyle w:val="TableGrid"/>
        <w:tblW w:w="0" w:type="auto"/>
        <w:tblLook w:val="04A0" w:firstRow="1" w:lastRow="0" w:firstColumn="1" w:lastColumn="0" w:noHBand="0" w:noVBand="1"/>
      </w:tblPr>
      <w:tblGrid>
        <w:gridCol w:w="4629"/>
        <w:gridCol w:w="4947"/>
      </w:tblGrid>
      <w:tr w:rsidR="00CF2C3D" w:rsidRPr="00E07414" w14:paraId="01E6B5BB" w14:textId="77777777" w:rsidTr="00E07414">
        <w:trPr>
          <w:trHeight w:val="251"/>
        </w:trPr>
        <w:tc>
          <w:tcPr>
            <w:tcW w:w="4788" w:type="dxa"/>
            <w:shd w:val="clear" w:color="auto" w:fill="A6A6A6" w:themeFill="background1" w:themeFillShade="A6"/>
          </w:tcPr>
          <w:p w14:paraId="17A8C492" w14:textId="746AD14F" w:rsidR="00CF2C3D" w:rsidRPr="00E07414" w:rsidRDefault="00E07414" w:rsidP="00022D55">
            <w:pPr>
              <w:rPr>
                <w:b/>
              </w:rPr>
            </w:pPr>
            <w:r w:rsidRPr="00E07414">
              <w:rPr>
                <w:b/>
              </w:rPr>
              <w:t>Parameter Estimates</w:t>
            </w:r>
          </w:p>
        </w:tc>
        <w:tc>
          <w:tcPr>
            <w:tcW w:w="4788" w:type="dxa"/>
            <w:shd w:val="clear" w:color="auto" w:fill="A6A6A6" w:themeFill="background1" w:themeFillShade="A6"/>
          </w:tcPr>
          <w:p w14:paraId="4089CF69" w14:textId="563B45A1" w:rsidR="00B875E2" w:rsidRPr="00E07414" w:rsidRDefault="00E07414" w:rsidP="00022D55">
            <w:pPr>
              <w:rPr>
                <w:b/>
              </w:rPr>
            </w:pPr>
            <w:r w:rsidRPr="00E07414">
              <w:rPr>
                <w:b/>
              </w:rPr>
              <w:t>Analysis of Variance</w:t>
            </w:r>
          </w:p>
        </w:tc>
      </w:tr>
      <w:tr w:rsidR="003E17A9" w14:paraId="488BF7BA" w14:textId="77777777" w:rsidTr="00CF2C3D">
        <w:trPr>
          <w:trHeight w:val="2015"/>
        </w:trPr>
        <w:tc>
          <w:tcPr>
            <w:tcW w:w="4788" w:type="dxa"/>
          </w:tcPr>
          <w:p w14:paraId="222ABEED" w14:textId="78AE881B" w:rsidR="003E17A9" w:rsidRDefault="003E17A9" w:rsidP="00022D55">
            <w:pPr>
              <w:rPr>
                <w:noProof/>
              </w:rPr>
            </w:pPr>
            <w:r>
              <w:rPr>
                <w:noProof/>
              </w:rPr>
              <w:lastRenderedPageBreak/>
              <w:drawing>
                <wp:inline distT="0" distB="0" distL="0" distR="0" wp14:anchorId="5AA86121" wp14:editId="08A3096E">
                  <wp:extent cx="2794635" cy="1669017"/>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splay11_parameter_estimates.png"/>
                          <pic:cNvPicPr/>
                        </pic:nvPicPr>
                        <pic:blipFill>
                          <a:blip r:embed="rId18">
                            <a:extLst>
                              <a:ext uri="{28A0092B-C50C-407E-A947-70E740481C1C}">
                                <a14:useLocalDpi xmlns:a14="http://schemas.microsoft.com/office/drawing/2010/main" val="0"/>
                              </a:ext>
                            </a:extLst>
                          </a:blip>
                          <a:stretch>
                            <a:fillRect/>
                          </a:stretch>
                        </pic:blipFill>
                        <pic:spPr>
                          <a:xfrm>
                            <a:off x="0" y="0"/>
                            <a:ext cx="2812212" cy="1679514"/>
                          </a:xfrm>
                          <a:prstGeom prst="rect">
                            <a:avLst/>
                          </a:prstGeom>
                        </pic:spPr>
                      </pic:pic>
                    </a:graphicData>
                  </a:graphic>
                </wp:inline>
              </w:drawing>
            </w:r>
          </w:p>
        </w:tc>
        <w:tc>
          <w:tcPr>
            <w:tcW w:w="4788" w:type="dxa"/>
          </w:tcPr>
          <w:p w14:paraId="398DF42F" w14:textId="77777777" w:rsidR="003E17A9" w:rsidRDefault="003E17A9" w:rsidP="00022D55">
            <w:pPr>
              <w:rPr>
                <w:noProof/>
              </w:rPr>
            </w:pPr>
            <w:r>
              <w:rPr>
                <w:noProof/>
              </w:rPr>
              <w:drawing>
                <wp:inline distT="0" distB="0" distL="0" distR="0" wp14:anchorId="37ABDEA3" wp14:editId="5788E389">
                  <wp:extent cx="3004186" cy="1158240"/>
                  <wp:effectExtent l="0" t="0" r="0" b="1016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splay15_anova.png"/>
                          <pic:cNvPicPr/>
                        </pic:nvPicPr>
                        <pic:blipFill>
                          <a:blip r:embed="rId19">
                            <a:extLst>
                              <a:ext uri="{28A0092B-C50C-407E-A947-70E740481C1C}">
                                <a14:useLocalDpi xmlns:a14="http://schemas.microsoft.com/office/drawing/2010/main" val="0"/>
                              </a:ext>
                            </a:extLst>
                          </a:blip>
                          <a:stretch>
                            <a:fillRect/>
                          </a:stretch>
                        </pic:blipFill>
                        <pic:spPr>
                          <a:xfrm>
                            <a:off x="0" y="0"/>
                            <a:ext cx="3029347" cy="1167941"/>
                          </a:xfrm>
                          <a:prstGeom prst="rect">
                            <a:avLst/>
                          </a:prstGeom>
                        </pic:spPr>
                      </pic:pic>
                    </a:graphicData>
                  </a:graphic>
                </wp:inline>
              </w:drawing>
            </w:r>
          </w:p>
          <w:p w14:paraId="5CEB4391" w14:textId="39C83AFF" w:rsidR="003E17A9" w:rsidRDefault="003E17A9" w:rsidP="00022D55">
            <w:pPr>
              <w:rPr>
                <w:noProof/>
              </w:rPr>
            </w:pPr>
            <w:r>
              <w:rPr>
                <w:noProof/>
              </w:rPr>
              <w:drawing>
                <wp:inline distT="0" distB="0" distL="0" distR="0" wp14:anchorId="518C2852" wp14:editId="08F3A9E9">
                  <wp:extent cx="2298065" cy="6671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splay14_rsquare.png"/>
                          <pic:cNvPicPr/>
                        </pic:nvPicPr>
                        <pic:blipFill>
                          <a:blip r:embed="rId20">
                            <a:extLst>
                              <a:ext uri="{28A0092B-C50C-407E-A947-70E740481C1C}">
                                <a14:useLocalDpi xmlns:a14="http://schemas.microsoft.com/office/drawing/2010/main" val="0"/>
                              </a:ext>
                            </a:extLst>
                          </a:blip>
                          <a:stretch>
                            <a:fillRect/>
                          </a:stretch>
                        </pic:blipFill>
                        <pic:spPr>
                          <a:xfrm>
                            <a:off x="0" y="0"/>
                            <a:ext cx="2366636" cy="687088"/>
                          </a:xfrm>
                          <a:prstGeom prst="rect">
                            <a:avLst/>
                          </a:prstGeom>
                        </pic:spPr>
                      </pic:pic>
                    </a:graphicData>
                  </a:graphic>
                </wp:inline>
              </w:drawing>
            </w:r>
          </w:p>
        </w:tc>
      </w:tr>
      <w:tr w:rsidR="00CF2C3D" w:rsidRPr="00E11DE2" w14:paraId="54CB9B67" w14:textId="77777777" w:rsidTr="00CF2C3D">
        <w:tc>
          <w:tcPr>
            <w:tcW w:w="4788" w:type="dxa"/>
          </w:tcPr>
          <w:p w14:paraId="0AD67E76" w14:textId="6BBFE091" w:rsidR="00CF2C3D" w:rsidRPr="00E11DE2" w:rsidRDefault="00E11DE2" w:rsidP="00022D55">
            <w:pPr>
              <w:rPr>
                <w:i/>
              </w:rPr>
            </w:pPr>
            <w:r w:rsidRPr="00E11DE2">
              <w:rPr>
                <w:i/>
              </w:rPr>
              <w:t>Figure</w:t>
            </w:r>
            <w:r w:rsidR="00C07BF3" w:rsidRPr="00E11DE2">
              <w:rPr>
                <w:i/>
              </w:rPr>
              <w:t xml:space="preserve"> </w:t>
            </w:r>
            <w:r w:rsidRPr="00E11DE2">
              <w:rPr>
                <w:i/>
              </w:rPr>
              <w:t>12</w:t>
            </w:r>
            <w:r>
              <w:rPr>
                <w:i/>
              </w:rPr>
              <w:t xml:space="preserve">. </w:t>
            </w:r>
            <w:r w:rsidR="00A271AC">
              <w:rPr>
                <w:i/>
              </w:rPr>
              <w:t>Parameter estimates comprising of the first four principal components</w:t>
            </w:r>
            <w:r w:rsidR="008E1A4B">
              <w:rPr>
                <w:i/>
              </w:rPr>
              <w:t>.</w:t>
            </w:r>
          </w:p>
        </w:tc>
        <w:tc>
          <w:tcPr>
            <w:tcW w:w="4788" w:type="dxa"/>
          </w:tcPr>
          <w:p w14:paraId="61BE18D5" w14:textId="277ACF0E" w:rsidR="00CF2C3D" w:rsidRPr="00E11DE2" w:rsidRDefault="00E11DE2" w:rsidP="00022D55">
            <w:pPr>
              <w:rPr>
                <w:i/>
              </w:rPr>
            </w:pPr>
            <w:r>
              <w:rPr>
                <w:i/>
              </w:rPr>
              <w:t>Figure 13.</w:t>
            </w:r>
            <w:r w:rsidR="00A271AC">
              <w:rPr>
                <w:i/>
              </w:rPr>
              <w:t xml:space="preserve"> Results of fitting the first four principal components.</w:t>
            </w:r>
          </w:p>
        </w:tc>
      </w:tr>
    </w:tbl>
    <w:p w14:paraId="4E06A088" w14:textId="2441AA25" w:rsidR="00CF2C3D" w:rsidRDefault="008E1A4B" w:rsidP="00022D55">
      <w:r>
        <w:t>After fitting the first four principal components, we have a good overall fit (F=945.36, p&lt;0.0001), indicating the first four principal components are significant</w:t>
      </w:r>
      <w:r w:rsidR="00004CE7">
        <w:t xml:space="preserve"> as shown in Figure 13</w:t>
      </w:r>
      <w:r>
        <w:t>.</w:t>
      </w:r>
      <w:r w:rsidR="00424874">
        <w:t xml:space="preserve"> The R</w:t>
      </w:r>
      <w:r w:rsidR="00424874" w:rsidRPr="00424874">
        <w:rPr>
          <w:vertAlign w:val="superscript"/>
        </w:rPr>
        <w:t>2</w:t>
      </w:r>
      <w:r w:rsidR="00424874">
        <w:t xml:space="preserve"> value </w:t>
      </w:r>
      <w:r w:rsidR="00004CE7">
        <w:t xml:space="preserve">of 95.65% </w:t>
      </w:r>
      <w:r w:rsidR="00C81FE0">
        <w:t>indicates about 4.35</w:t>
      </w:r>
      <w:r w:rsidR="00424874">
        <w:t xml:space="preserve">% of the variation in the data is not explained by the data. As show in Figure 12, there are significant effects for all four </w:t>
      </w:r>
      <w:r w:rsidR="00953A88">
        <w:t>principal components (t=58.14, P&lt;0.0001, t=11.88, P&lt;0.0001, t=-9.56, P&lt;0.0001, t=13.01, P&lt;0.0001).</w:t>
      </w:r>
      <w:r w:rsidR="00004CE7">
        <w:t xml:space="preserve"> As expected, the scatterplot matrix in Figure 14 shows no evidence of a nonlinear relationship to the response variable.</w:t>
      </w:r>
    </w:p>
    <w:p w14:paraId="57295060" w14:textId="4F5DF92B" w:rsidR="00AC6820" w:rsidRDefault="00AC6820" w:rsidP="00022D55">
      <w:r>
        <w:t xml:space="preserve">Now we move on to check the assumptions. </w:t>
      </w:r>
      <w:r w:rsidR="009E7F84">
        <w:t>Overall,</w:t>
      </w:r>
      <w:r w:rsidR="000F1063">
        <w:t xml:space="preserve"> </w:t>
      </w:r>
      <w:r w:rsidR="009E7F84">
        <w:t xml:space="preserve">the residual errors </w:t>
      </w:r>
      <w:r w:rsidR="000F1063">
        <w:t>look</w:t>
      </w:r>
      <w:r w:rsidR="009E7F84">
        <w:t xml:space="preserve"> good, as show in the diagnostic plots of</w:t>
      </w:r>
      <w:r>
        <w:t xml:space="preserve"> Figure 15. There is no evidence to suggest interdependence for the predicted value plots.</w:t>
      </w:r>
      <w:r w:rsidR="00A3105F">
        <w:t xml:space="preserve"> There is no evidence of non-normal distribution </w:t>
      </w:r>
      <w:r w:rsidR="007428CC">
        <w:t xml:space="preserve">in the </w:t>
      </w:r>
      <w:proofErr w:type="spellStart"/>
      <w:r w:rsidR="007428CC">
        <w:t>quantile</w:t>
      </w:r>
      <w:proofErr w:type="spellEnd"/>
      <w:r w:rsidR="007428CC">
        <w:t xml:space="preserve"> and residual histogram plots.</w:t>
      </w:r>
      <w:r>
        <w:t xml:space="preserve"> </w:t>
      </w:r>
      <w:r w:rsidR="007428CC">
        <w:t>Finally, the residual plots for the principal components in Figure 16 show no evidence of non-constant variance.</w:t>
      </w:r>
    </w:p>
    <w:p w14:paraId="06291766" w14:textId="6DE9AFF6" w:rsidR="00C81FE0" w:rsidRPr="00C81FE0" w:rsidRDefault="00E11EB1" w:rsidP="00022D55">
      <w:pPr>
        <w:rPr>
          <w:rFonts w:eastAsiaTheme="minorEastAsia"/>
        </w:rPr>
      </w:pPr>
      <w:r>
        <w:t xml:space="preserve">Next, we </w:t>
      </w:r>
      <w:r w:rsidR="00755A9B">
        <w:t xml:space="preserve">examine the Outliers and Leverage points and note that we have four observations that are </w:t>
      </w:r>
      <w:r w:rsidR="00A26598">
        <w:t xml:space="preserve">high Cook’s D value and </w:t>
      </w:r>
      <w:r w:rsidR="00755A9B">
        <w:t xml:space="preserve">Outliers and Leverage points, they are 108, 161, 175, and 189. These correspond to the Universities: University of Mannheim, </w:t>
      </w:r>
      <w:proofErr w:type="spellStart"/>
      <w:r w:rsidR="00755A9B">
        <w:t>Lomonosov</w:t>
      </w:r>
      <w:proofErr w:type="spellEnd"/>
      <w:r w:rsidR="00755A9B">
        <w:t xml:space="preserve"> Moscow State University, University of Konstanz, and Arizona State University</w:t>
      </w:r>
      <w:r w:rsidR="00A26598">
        <w:t xml:space="preserve">. There is no reason to exclude these </w:t>
      </w:r>
      <w:r w:rsidR="007027D0">
        <w:t>observations,</w:t>
      </w:r>
      <w:r w:rsidR="00DC0DEA">
        <w:t xml:space="preserve"> as </w:t>
      </w:r>
      <w:r w:rsidR="00C81FE0">
        <w:t>we have no reason to expect that these four universities are not part of the model.</w:t>
      </w:r>
    </w:p>
    <w:tbl>
      <w:tblPr>
        <w:tblStyle w:val="TableGrid"/>
        <w:tblW w:w="0" w:type="auto"/>
        <w:tblLook w:val="04A0" w:firstRow="1" w:lastRow="0" w:firstColumn="1" w:lastColumn="0" w:noHBand="0" w:noVBand="1"/>
      </w:tblPr>
      <w:tblGrid>
        <w:gridCol w:w="3192"/>
        <w:gridCol w:w="3192"/>
        <w:gridCol w:w="3192"/>
      </w:tblGrid>
      <w:tr w:rsidR="00755A9B" w:rsidRPr="00590AB5" w14:paraId="51C258C2" w14:textId="77777777" w:rsidTr="00590AB5">
        <w:tc>
          <w:tcPr>
            <w:tcW w:w="3192" w:type="dxa"/>
            <w:shd w:val="clear" w:color="auto" w:fill="A6A6A6" w:themeFill="background1" w:themeFillShade="A6"/>
          </w:tcPr>
          <w:p w14:paraId="18AD7068" w14:textId="7EDDB025" w:rsidR="00953A88" w:rsidRPr="00590AB5" w:rsidRDefault="00590AB5" w:rsidP="00022D55">
            <w:pPr>
              <w:rPr>
                <w:b/>
              </w:rPr>
            </w:pPr>
            <w:r w:rsidRPr="00590AB5">
              <w:rPr>
                <w:b/>
                <w:noProof/>
              </w:rPr>
              <w:t>Scatter Plot Matrix</w:t>
            </w:r>
          </w:p>
        </w:tc>
        <w:tc>
          <w:tcPr>
            <w:tcW w:w="3192" w:type="dxa"/>
            <w:shd w:val="clear" w:color="auto" w:fill="A6A6A6" w:themeFill="background1" w:themeFillShade="A6"/>
          </w:tcPr>
          <w:p w14:paraId="50BE00C0" w14:textId="19BB76B3" w:rsidR="00953A88" w:rsidRPr="00590AB5" w:rsidRDefault="00590AB5" w:rsidP="00022D55">
            <w:pPr>
              <w:rPr>
                <w:b/>
              </w:rPr>
            </w:pPr>
            <w:r w:rsidRPr="00590AB5">
              <w:rPr>
                <w:b/>
              </w:rPr>
              <w:t>Fit Diagnostics</w:t>
            </w:r>
          </w:p>
        </w:tc>
        <w:tc>
          <w:tcPr>
            <w:tcW w:w="3192" w:type="dxa"/>
            <w:shd w:val="clear" w:color="auto" w:fill="A6A6A6" w:themeFill="background1" w:themeFillShade="A6"/>
          </w:tcPr>
          <w:p w14:paraId="242F9DB8" w14:textId="47C58339" w:rsidR="00953A88" w:rsidRPr="00590AB5" w:rsidRDefault="00590AB5" w:rsidP="00022D55">
            <w:pPr>
              <w:rPr>
                <w:b/>
              </w:rPr>
            </w:pPr>
            <w:r w:rsidRPr="00590AB5">
              <w:rPr>
                <w:b/>
              </w:rPr>
              <w:t xml:space="preserve">Residual by </w:t>
            </w:r>
            <w:proofErr w:type="spellStart"/>
            <w:r w:rsidRPr="00590AB5">
              <w:rPr>
                <w:b/>
              </w:rPr>
              <w:t>Regressors</w:t>
            </w:r>
            <w:proofErr w:type="spellEnd"/>
          </w:p>
        </w:tc>
      </w:tr>
      <w:tr w:rsidR="00590AB5" w14:paraId="274E1D68" w14:textId="77777777" w:rsidTr="00953A88">
        <w:tc>
          <w:tcPr>
            <w:tcW w:w="3192" w:type="dxa"/>
          </w:tcPr>
          <w:p w14:paraId="0FAD9A9B" w14:textId="5227C752" w:rsidR="00590AB5" w:rsidRDefault="00590AB5" w:rsidP="00022D55">
            <w:pPr>
              <w:rPr>
                <w:noProof/>
              </w:rPr>
            </w:pPr>
            <w:r>
              <w:rPr>
                <w:noProof/>
              </w:rPr>
              <w:drawing>
                <wp:inline distT="0" distB="0" distL="0" distR="0" wp14:anchorId="5B1671EC" wp14:editId="071D6279">
                  <wp:extent cx="1765935" cy="1765935"/>
                  <wp:effectExtent l="0" t="0" r="12065" b="1206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splay16_scatterplot.png"/>
                          <pic:cNvPicPr/>
                        </pic:nvPicPr>
                        <pic:blipFill>
                          <a:blip r:embed="rId21">
                            <a:extLst>
                              <a:ext uri="{28A0092B-C50C-407E-A947-70E740481C1C}">
                                <a14:useLocalDpi xmlns:a14="http://schemas.microsoft.com/office/drawing/2010/main" val="0"/>
                              </a:ext>
                            </a:extLst>
                          </a:blip>
                          <a:stretch>
                            <a:fillRect/>
                          </a:stretch>
                        </pic:blipFill>
                        <pic:spPr>
                          <a:xfrm>
                            <a:off x="0" y="0"/>
                            <a:ext cx="1765935" cy="1765935"/>
                          </a:xfrm>
                          <a:prstGeom prst="rect">
                            <a:avLst/>
                          </a:prstGeom>
                        </pic:spPr>
                      </pic:pic>
                    </a:graphicData>
                  </a:graphic>
                </wp:inline>
              </w:drawing>
            </w:r>
          </w:p>
        </w:tc>
        <w:tc>
          <w:tcPr>
            <w:tcW w:w="3192" w:type="dxa"/>
          </w:tcPr>
          <w:p w14:paraId="1210D872" w14:textId="6C359613" w:rsidR="00590AB5" w:rsidRDefault="00755A9B" w:rsidP="00022D55">
            <w:pPr>
              <w:rPr>
                <w:noProof/>
              </w:rPr>
            </w:pPr>
            <w:r>
              <w:rPr>
                <w:noProof/>
              </w:rPr>
              <w:drawing>
                <wp:inline distT="0" distB="0" distL="0" distR="0" wp14:anchorId="5ECB4DAA" wp14:editId="207AD697">
                  <wp:extent cx="1769110" cy="1769110"/>
                  <wp:effectExtent l="0" t="0" r="889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isplay12_fit_diagnostics.png"/>
                          <pic:cNvPicPr/>
                        </pic:nvPicPr>
                        <pic:blipFill>
                          <a:blip r:embed="rId22">
                            <a:extLst>
                              <a:ext uri="{28A0092B-C50C-407E-A947-70E740481C1C}">
                                <a14:useLocalDpi xmlns:a14="http://schemas.microsoft.com/office/drawing/2010/main" val="0"/>
                              </a:ext>
                            </a:extLst>
                          </a:blip>
                          <a:stretch>
                            <a:fillRect/>
                          </a:stretch>
                        </pic:blipFill>
                        <pic:spPr>
                          <a:xfrm>
                            <a:off x="0" y="0"/>
                            <a:ext cx="1769110" cy="1769110"/>
                          </a:xfrm>
                          <a:prstGeom prst="rect">
                            <a:avLst/>
                          </a:prstGeom>
                        </pic:spPr>
                      </pic:pic>
                    </a:graphicData>
                  </a:graphic>
                </wp:inline>
              </w:drawing>
            </w:r>
          </w:p>
        </w:tc>
        <w:tc>
          <w:tcPr>
            <w:tcW w:w="3192" w:type="dxa"/>
          </w:tcPr>
          <w:p w14:paraId="2B4C405E" w14:textId="5CF131B4" w:rsidR="00590AB5" w:rsidRDefault="00590AB5" w:rsidP="00022D55">
            <w:pPr>
              <w:rPr>
                <w:noProof/>
              </w:rPr>
            </w:pPr>
            <w:r>
              <w:rPr>
                <w:noProof/>
              </w:rPr>
              <w:drawing>
                <wp:inline distT="0" distB="0" distL="0" distR="0" wp14:anchorId="2C0CB6EF" wp14:editId="7ED2C1EB">
                  <wp:extent cx="1691005" cy="1274757"/>
                  <wp:effectExtent l="0" t="0" r="1079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isplay13_regressors.png"/>
                          <pic:cNvPicPr/>
                        </pic:nvPicPr>
                        <pic:blipFill>
                          <a:blip r:embed="rId23">
                            <a:extLst>
                              <a:ext uri="{28A0092B-C50C-407E-A947-70E740481C1C}">
                                <a14:useLocalDpi xmlns:a14="http://schemas.microsoft.com/office/drawing/2010/main" val="0"/>
                              </a:ext>
                            </a:extLst>
                          </a:blip>
                          <a:stretch>
                            <a:fillRect/>
                          </a:stretch>
                        </pic:blipFill>
                        <pic:spPr>
                          <a:xfrm>
                            <a:off x="0" y="0"/>
                            <a:ext cx="1697495" cy="1279649"/>
                          </a:xfrm>
                          <a:prstGeom prst="rect">
                            <a:avLst/>
                          </a:prstGeom>
                        </pic:spPr>
                      </pic:pic>
                    </a:graphicData>
                  </a:graphic>
                </wp:inline>
              </w:drawing>
            </w:r>
          </w:p>
        </w:tc>
      </w:tr>
      <w:tr w:rsidR="00755A9B" w:rsidRPr="00284DCD" w14:paraId="144B0F24" w14:textId="77777777" w:rsidTr="00953A88">
        <w:tc>
          <w:tcPr>
            <w:tcW w:w="3192" w:type="dxa"/>
          </w:tcPr>
          <w:p w14:paraId="27D3FE2B" w14:textId="1D474DDB" w:rsidR="00953A88" w:rsidRPr="00284DCD" w:rsidRDefault="00284DCD" w:rsidP="00022D55">
            <w:pPr>
              <w:rPr>
                <w:i/>
              </w:rPr>
            </w:pPr>
            <w:r w:rsidRPr="00284DCD">
              <w:rPr>
                <w:i/>
              </w:rPr>
              <w:t>Figure 14.</w:t>
            </w:r>
            <w:r>
              <w:rPr>
                <w:i/>
              </w:rPr>
              <w:t xml:space="preserve"> Scatterplot matrix of the response variable and first four principal components.</w:t>
            </w:r>
          </w:p>
        </w:tc>
        <w:tc>
          <w:tcPr>
            <w:tcW w:w="3192" w:type="dxa"/>
          </w:tcPr>
          <w:p w14:paraId="0ACA7C7C" w14:textId="1C8E46DF" w:rsidR="00953A88" w:rsidRPr="00284DCD" w:rsidRDefault="00284DCD" w:rsidP="00DC0497">
            <w:pPr>
              <w:rPr>
                <w:i/>
              </w:rPr>
            </w:pPr>
            <w:r w:rsidRPr="00284DCD">
              <w:rPr>
                <w:i/>
              </w:rPr>
              <w:t>Figure 15.</w:t>
            </w:r>
            <w:r>
              <w:rPr>
                <w:i/>
              </w:rPr>
              <w:t xml:space="preserve"> </w:t>
            </w:r>
            <w:r w:rsidR="00DC0497">
              <w:rPr>
                <w:i/>
              </w:rPr>
              <w:t>Diagnostic plots for the fitted model using all four principal components.</w:t>
            </w:r>
            <w:r>
              <w:rPr>
                <w:i/>
              </w:rPr>
              <w:t xml:space="preserve"> </w:t>
            </w:r>
          </w:p>
        </w:tc>
        <w:tc>
          <w:tcPr>
            <w:tcW w:w="3192" w:type="dxa"/>
          </w:tcPr>
          <w:p w14:paraId="151651C1" w14:textId="1941A18C" w:rsidR="00953A88" w:rsidRPr="00284DCD" w:rsidRDefault="00284DCD" w:rsidP="00022D55">
            <w:pPr>
              <w:rPr>
                <w:i/>
              </w:rPr>
            </w:pPr>
            <w:r w:rsidRPr="00284DCD">
              <w:rPr>
                <w:i/>
              </w:rPr>
              <w:t>Figure 16.</w:t>
            </w:r>
            <w:r w:rsidR="00DC0497">
              <w:rPr>
                <w:i/>
              </w:rPr>
              <w:t xml:space="preserve"> Residuals for each principal component.</w:t>
            </w:r>
          </w:p>
        </w:tc>
      </w:tr>
    </w:tbl>
    <w:p w14:paraId="536A89C0" w14:textId="0CA80391" w:rsidR="00CF2C3D" w:rsidRDefault="00B827AA" w:rsidP="00022D55">
      <w:r>
        <w:lastRenderedPageBreak/>
        <w:t>We have no good reason to simplify the model any further, and thus our regression equation for the final model remains</w:t>
      </w:r>
      <w:r w:rsidR="00876D27">
        <w:t xml:space="preserve"> with all four principal components intact</w:t>
      </w:r>
      <w:r>
        <w:t>:</w:t>
      </w:r>
    </w:p>
    <w:p w14:paraId="1D2E42A3" w14:textId="52B950C4" w:rsidR="00B827AA" w:rsidRPr="00A271AC" w:rsidRDefault="00B827AA" w:rsidP="00B827AA">
      <w:pPr>
        <w:rPr>
          <w:rFonts w:eastAsiaTheme="minorEastAsia"/>
        </w:rPr>
      </w:pPr>
      <m:oMathPara>
        <m:oMath>
          <m:r>
            <w:rPr>
              <w:rFonts w:ascii="Cambria Math" w:hAnsi="Cambria Math"/>
            </w:rPr>
            <m:t>Total Score= 62.3+7.3</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+1.6</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-1.5</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+2.3</m:t>
          </m:r>
          <m:sSub>
            <m:sSubPr>
              <m:ctrlPr>
                <w:rPr>
                  <w:rFonts w:ascii="Cambria Math" w:hAnsi="Cambria Math"/>
                  <w:i/>
                </w:rPr>
              </m:ctrlPr>
            </m:sSubPr>
            <m:e>
              <m:r>
                <w:rPr>
                  <w:rFonts w:ascii="Cambria Math" w:hAnsi="Cambria Math"/>
                </w:rPr>
                <m:t>P</m:t>
              </m:r>
            </m:e>
            <m:sub>
              <m:r>
                <w:rPr>
                  <w:rFonts w:ascii="Cambria Math" w:hAnsi="Cambria Math"/>
                </w:rPr>
                <m:t>4</m:t>
              </m:r>
            </m:sub>
          </m:sSub>
        </m:oMath>
      </m:oMathPara>
    </w:p>
    <w:p w14:paraId="501D9CDB" w14:textId="249D77AB" w:rsidR="00876D27" w:rsidRDefault="000154E4" w:rsidP="00464CE6">
      <w:pPr>
        <w:pStyle w:val="Heading1"/>
        <w:rPr>
          <w:rFonts w:ascii="Arial" w:hAnsi="Arial"/>
          <w:sz w:val="22"/>
          <w:szCs w:val="22"/>
          <w:u w:val="single"/>
        </w:rPr>
      </w:pPr>
      <w:r>
        <w:rPr>
          <w:rFonts w:ascii="Arial" w:hAnsi="Arial"/>
          <w:sz w:val="22"/>
          <w:szCs w:val="22"/>
          <w:u w:val="single"/>
        </w:rPr>
        <w:t>Conclusion</w:t>
      </w:r>
      <w:r w:rsidR="00876D27">
        <w:rPr>
          <w:rFonts w:ascii="Arial" w:hAnsi="Arial"/>
          <w:sz w:val="22"/>
          <w:szCs w:val="22"/>
          <w:u w:val="single"/>
        </w:rPr>
        <w:t>s</w:t>
      </w:r>
    </w:p>
    <w:p w14:paraId="64529B2F" w14:textId="5A5D2DCD" w:rsidR="00972E06" w:rsidRDefault="003D305F" w:rsidP="00876D27">
      <w:r>
        <w:t xml:space="preserve">In </w:t>
      </w:r>
      <w:r w:rsidR="00972E06">
        <w:t>the</w:t>
      </w:r>
      <w:r>
        <w:t xml:space="preserve"> quest to find the </w:t>
      </w:r>
      <w:r w:rsidR="00972E06">
        <w:t xml:space="preserve">variables that have the </w:t>
      </w:r>
      <w:r>
        <w:t xml:space="preserve">greatest influence of university rankings using principal component analysis, </w:t>
      </w:r>
      <w:r w:rsidR="00972E06">
        <w:t>the findings must be framed in an appropriate manner. While a predic</w:t>
      </w:r>
      <w:r w:rsidR="007A538F">
        <w:t xml:space="preserve">tion model is not really useful, </w:t>
      </w:r>
      <w:r w:rsidR="00972E06">
        <w:t>the discovery of how variables were grouped in the principal components yielded some interesting results.</w:t>
      </w:r>
    </w:p>
    <w:p w14:paraId="4319EE5E" w14:textId="77777777" w:rsidR="006652E8" w:rsidRDefault="006652E8" w:rsidP="006652E8">
      <w:r>
        <w:t>The first principal component associates the variables teaching and research. It is not surprising as these two fundamental areas reinforce each other in an institution of higher learning and contribute to a total higher score. We note that both teaching and research were assigned a weight of 30% in the original methodology, but surprisingly citations is not part of the first principal component as it was also assigned 30% weighting.</w:t>
      </w:r>
    </w:p>
    <w:p w14:paraId="5B6AD931" w14:textId="37234030" w:rsidR="00F74963" w:rsidRDefault="006652E8" w:rsidP="006652E8">
      <w:r>
        <w:t>The second principal component groups international outlook and international students, having a negative association with the total score. At first glance, this may seem somewhat surprising given the international outlook one of the five published criteria as being essential for a university (“ability to attract undergrads, postgraduates, and faculty from all over the planet is key to it’s success on the world stage”). However, taking a closer look at the weighting methodology, we see that international outlook is given only 7.5% weighting. We confirm this and note that many of the top ranked schools have relatively low international outlook scores. For example, California Institute of Technology is ranked at the top in 2016, but only has an international outlook score of 64 out of 100</w:t>
      </w:r>
      <w:r w:rsidR="00F45A92">
        <w:t>, below the average of all universities at 66.79</w:t>
      </w:r>
      <w:r>
        <w:t xml:space="preserve">. Interestingly, this principal component seems to provide some circumstantial evidence to support the criticism levied against The Times Higher Education World University Rankings that they are in fact undermining non-English speaking institutions. </w:t>
      </w:r>
      <w:r w:rsidR="00F74963">
        <w:t xml:space="preserve">Please refer to: </w:t>
      </w:r>
      <w:hyperlink r:id="rId24" w:history="1">
        <w:r w:rsidR="00F74963" w:rsidRPr="00E3657C">
          <w:rPr>
            <w:rStyle w:val="Hyperlink"/>
          </w:rPr>
          <w:t>https://en.wikipedia.org/wiki/Times_Higher_Education_World_University_Rankings</w:t>
        </w:r>
      </w:hyperlink>
    </w:p>
    <w:p w14:paraId="54DA65FD" w14:textId="2D1B1A33" w:rsidR="006652E8" w:rsidRDefault="006652E8" w:rsidP="006652E8">
      <w:r>
        <w:t xml:space="preserve">The highest non-English speaking ranked school at #9 is Swiss Federal Institute of Technology in Zurich, Switzerland with a score of 97.9 on international outlook. Given a higher weighting for international outlook would in fact put this school as a contender for the top seven spots. </w:t>
      </w:r>
    </w:p>
    <w:p w14:paraId="59876C95" w14:textId="658B23B1" w:rsidR="006652E8" w:rsidRDefault="006652E8" w:rsidP="006652E8">
      <w:r>
        <w:t xml:space="preserve">The third principal component shows almost perfect contrast between citations and student to staff ratio. One interpretation of this principal component is that having fewer students per staff increases the quality of research and therefore leads to more citations. In fact, the top </w:t>
      </w:r>
      <w:r w:rsidR="00F74963">
        <w:t>seven-ranked</w:t>
      </w:r>
      <w:r>
        <w:t xml:space="preserve"> </w:t>
      </w:r>
      <w:r w:rsidR="00F74963">
        <w:t>institutions have</w:t>
      </w:r>
      <w:r>
        <w:t xml:space="preserve"> an average of 9.2 </w:t>
      </w:r>
      <w:r w:rsidR="00F74963">
        <w:t>students</w:t>
      </w:r>
      <w:r>
        <w:t xml:space="preserve"> to staff ratio and an average citations score of 99.19 out of 100. The student to staff ratio for all the universities is 17.2 with an average citations score of 82.915 (see Figure 2).</w:t>
      </w:r>
      <w:r w:rsidR="00F74963">
        <w:t xml:space="preserve"> We should also note here that having many citations might not have practical significance to the quality of undergraduate study.</w:t>
      </w:r>
    </w:p>
    <w:p w14:paraId="3B5D6985" w14:textId="77777777" w:rsidR="006652E8" w:rsidRDefault="006652E8" w:rsidP="006652E8">
      <w:r>
        <w:t>The fourth principal component groups number of students and female to male ratio. As the number of students’ increase, so does the female to male ratio. While this principal component does not contain any variables that were used to calculate the original total score, it does provide evidence that the ranking system is including schools that teach majors that not only include traditionally men dominated fields such as engineering.</w:t>
      </w:r>
    </w:p>
    <w:p w14:paraId="22DE6B7C" w14:textId="660CC56A" w:rsidR="00CB795A" w:rsidRDefault="007A538F" w:rsidP="006652E8">
      <w:r>
        <w:t xml:space="preserve">While principal components one, three, and four were interesting, principal component two revealed the most surprising result. </w:t>
      </w:r>
      <w:r w:rsidR="00F45A92">
        <w:t>It’</w:t>
      </w:r>
      <w:r w:rsidR="001C7BFF">
        <w:t xml:space="preserve">s difficult to assess the how the weightings </w:t>
      </w:r>
      <w:r w:rsidR="00E25710">
        <w:t>are</w:t>
      </w:r>
      <w:r w:rsidR="001C7BFF">
        <w:t xml:space="preserve"> determined, but </w:t>
      </w:r>
      <w:r w:rsidR="000C01C0">
        <w:t xml:space="preserve">there is </w:t>
      </w:r>
      <w:r w:rsidR="000C01C0">
        <w:lastRenderedPageBreak/>
        <w:t>definitely a bias towards teaching/research/citations</w:t>
      </w:r>
      <w:r w:rsidR="001C7BFF">
        <w:t xml:space="preserve">. Finally, we should address some of the practical issues with these rankings as they are simply too broad when it comes to </w:t>
      </w:r>
      <w:r w:rsidR="000C01C0">
        <w:t xml:space="preserve">specific fields of study. </w:t>
      </w:r>
      <w:r w:rsidR="00E25710">
        <w:t>A student that is interested in studying Music would have no reason to apply to California Institute of Technology, just as a student interested in studying Mathematics would not apply to Julliard.</w:t>
      </w:r>
      <w:r w:rsidR="00872443">
        <w:t xml:space="preserve"> The best advice to </w:t>
      </w:r>
      <w:r w:rsidR="00F74963">
        <w:t>an</w:t>
      </w:r>
      <w:r w:rsidR="00872443">
        <w:t xml:space="preserve"> as</w:t>
      </w:r>
      <w:r w:rsidR="00CB795A">
        <w:t xml:space="preserve">piring college student may well be to take these University rankings with a grain of salt and </w:t>
      </w:r>
      <w:r w:rsidR="00F74963">
        <w:t>gain the perspective</w:t>
      </w:r>
      <w:bookmarkStart w:id="0" w:name="_GoBack"/>
      <w:bookmarkEnd w:id="0"/>
      <w:r w:rsidR="00CB795A">
        <w:t xml:space="preserve"> that these rankings </w:t>
      </w:r>
      <w:r w:rsidR="00F74963">
        <w:t>are limited in their scope of analysis.</w:t>
      </w:r>
    </w:p>
    <w:p w14:paraId="323BFDD8" w14:textId="2F651D9D" w:rsidR="00464CE6" w:rsidRPr="004B017B" w:rsidRDefault="00464CE6" w:rsidP="00464CE6">
      <w:pPr>
        <w:pStyle w:val="Heading1"/>
        <w:rPr>
          <w:rFonts w:ascii="Arial" w:hAnsi="Arial"/>
          <w:sz w:val="22"/>
          <w:szCs w:val="22"/>
          <w:u w:val="single"/>
        </w:rPr>
      </w:pPr>
      <w:r>
        <w:rPr>
          <w:rFonts w:ascii="Arial" w:hAnsi="Arial"/>
          <w:sz w:val="22"/>
          <w:szCs w:val="22"/>
          <w:u w:val="single"/>
        </w:rPr>
        <w:t>APPENDIX</w:t>
      </w:r>
    </w:p>
    <w:p w14:paraId="3CCC3D90" w14:textId="08C6EA68" w:rsidR="00277C8B" w:rsidRPr="00277C8B" w:rsidRDefault="00277C8B" w:rsidP="00277C8B">
      <w:pPr>
        <w:pStyle w:val="NoSpacing"/>
        <w:rPr>
          <w:rFonts w:ascii="Courier" w:hAnsi="Courier"/>
          <w:sz w:val="18"/>
          <w:szCs w:val="18"/>
        </w:rPr>
      </w:pPr>
    </w:p>
    <w:p w14:paraId="68C3CE49"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r w:rsidRPr="00C7129C">
        <w:rPr>
          <w:rFonts w:ascii="Courier" w:hAnsi="Courier" w:cs="Menlo"/>
          <w:color w:val="000000"/>
          <w:sz w:val="16"/>
          <w:szCs w:val="16"/>
        </w:rPr>
        <w:t>/* Original Data Load */</w:t>
      </w:r>
    </w:p>
    <w:p w14:paraId="3ACDA65A"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r w:rsidRPr="00C7129C">
        <w:rPr>
          <w:rFonts w:ascii="Courier" w:hAnsi="Courier" w:cs="Menlo"/>
          <w:color w:val="000000"/>
          <w:sz w:val="16"/>
          <w:szCs w:val="16"/>
        </w:rPr>
        <w:t>PROC IMPORT OUT=WORK.PROJECT2</w:t>
      </w:r>
    </w:p>
    <w:p w14:paraId="7E73B0BF"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r w:rsidRPr="00C7129C">
        <w:rPr>
          <w:rFonts w:ascii="Courier" w:hAnsi="Courier" w:cs="Menlo"/>
          <w:color w:val="000000"/>
          <w:sz w:val="16"/>
          <w:szCs w:val="16"/>
        </w:rPr>
        <w:t xml:space="preserve">        DATAFILE="C:/Documents and Settings/</w:t>
      </w:r>
      <w:proofErr w:type="spellStart"/>
      <w:r w:rsidRPr="00C7129C">
        <w:rPr>
          <w:rFonts w:ascii="Courier" w:hAnsi="Courier" w:cs="Menlo"/>
          <w:color w:val="000000"/>
          <w:sz w:val="16"/>
          <w:szCs w:val="16"/>
        </w:rPr>
        <w:t>james</w:t>
      </w:r>
      <w:proofErr w:type="spellEnd"/>
      <w:r w:rsidRPr="00C7129C">
        <w:rPr>
          <w:rFonts w:ascii="Courier" w:hAnsi="Courier" w:cs="Menlo"/>
          <w:color w:val="000000"/>
          <w:sz w:val="16"/>
          <w:szCs w:val="16"/>
        </w:rPr>
        <w:t>/My Documents/My SAS Files/9.4/MSDS6372/Project2/timesData3.csv"</w:t>
      </w:r>
    </w:p>
    <w:p w14:paraId="3750785D"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r w:rsidRPr="00C7129C">
        <w:rPr>
          <w:rFonts w:ascii="Courier" w:hAnsi="Courier" w:cs="Menlo"/>
          <w:color w:val="000000"/>
          <w:sz w:val="16"/>
          <w:szCs w:val="16"/>
        </w:rPr>
        <w:t xml:space="preserve">        DBMS=CSV REPLACE;</w:t>
      </w:r>
    </w:p>
    <w:p w14:paraId="25264DB2"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r w:rsidRPr="00C7129C">
        <w:rPr>
          <w:rFonts w:ascii="Courier" w:hAnsi="Courier" w:cs="Menlo"/>
          <w:color w:val="000000"/>
          <w:sz w:val="16"/>
          <w:szCs w:val="16"/>
        </w:rPr>
        <w:t xml:space="preserve">        GETNAMES=YES;</w:t>
      </w:r>
    </w:p>
    <w:p w14:paraId="497F6B33"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r w:rsidRPr="00C7129C">
        <w:rPr>
          <w:rFonts w:ascii="Courier" w:hAnsi="Courier" w:cs="Menlo"/>
          <w:color w:val="000000"/>
          <w:sz w:val="16"/>
          <w:szCs w:val="16"/>
        </w:rPr>
        <w:t xml:space="preserve">        DATAROW=2;</w:t>
      </w:r>
    </w:p>
    <w:p w14:paraId="38404C95"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r w:rsidRPr="00C7129C">
        <w:rPr>
          <w:rFonts w:ascii="Courier" w:hAnsi="Courier" w:cs="Menlo"/>
          <w:color w:val="000000"/>
          <w:sz w:val="16"/>
          <w:szCs w:val="16"/>
        </w:rPr>
        <w:t>RUN</w:t>
      </w:r>
      <w:proofErr w:type="gramStart"/>
      <w:r w:rsidRPr="00C7129C">
        <w:rPr>
          <w:rFonts w:ascii="Courier" w:hAnsi="Courier" w:cs="Menlo"/>
          <w:color w:val="000000"/>
          <w:sz w:val="16"/>
          <w:szCs w:val="16"/>
        </w:rPr>
        <w:t>;</w:t>
      </w:r>
      <w:proofErr w:type="gramEnd"/>
    </w:p>
    <w:p w14:paraId="15C6CDCB"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p>
    <w:p w14:paraId="06D19A2C"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r w:rsidRPr="00C7129C">
        <w:rPr>
          <w:rFonts w:ascii="Courier" w:hAnsi="Courier" w:cs="Menlo"/>
          <w:color w:val="000000"/>
          <w:sz w:val="16"/>
          <w:szCs w:val="16"/>
        </w:rPr>
        <w:t>PROC PRINT DATA=WORK.PROJECT2; RUN;</w:t>
      </w:r>
    </w:p>
    <w:p w14:paraId="32145104"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p>
    <w:p w14:paraId="5074E7C9"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r w:rsidRPr="00C7129C">
        <w:rPr>
          <w:rFonts w:ascii="Courier" w:hAnsi="Courier" w:cs="Menlo"/>
          <w:color w:val="000000"/>
          <w:sz w:val="16"/>
          <w:szCs w:val="16"/>
        </w:rPr>
        <w:t>PROC MEANS DATA=WORK.PROJECT2 N MEAN MEDIAN STD MIN MAX;</w:t>
      </w:r>
    </w:p>
    <w:p w14:paraId="2FECE1FD"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r w:rsidRPr="00C7129C">
        <w:rPr>
          <w:rFonts w:ascii="Courier" w:hAnsi="Courier" w:cs="Menlo"/>
          <w:color w:val="000000"/>
          <w:sz w:val="16"/>
          <w:szCs w:val="16"/>
        </w:rPr>
        <w:t xml:space="preserve">    VAR </w:t>
      </w:r>
      <w:proofErr w:type="spellStart"/>
      <w:r w:rsidRPr="00C7129C">
        <w:rPr>
          <w:rFonts w:ascii="Courier" w:hAnsi="Courier" w:cs="Menlo"/>
          <w:color w:val="000000"/>
          <w:sz w:val="16"/>
          <w:szCs w:val="16"/>
        </w:rPr>
        <w:t>total_score</w:t>
      </w:r>
      <w:proofErr w:type="spellEnd"/>
      <w:r w:rsidRPr="00C7129C">
        <w:rPr>
          <w:rFonts w:ascii="Courier" w:hAnsi="Courier" w:cs="Menlo"/>
          <w:color w:val="000000"/>
          <w:sz w:val="16"/>
          <w:szCs w:val="16"/>
        </w:rPr>
        <w:t xml:space="preserve"> teaching international research citations income </w:t>
      </w:r>
      <w:proofErr w:type="spellStart"/>
      <w:r w:rsidRPr="00C7129C">
        <w:rPr>
          <w:rFonts w:ascii="Courier" w:hAnsi="Courier" w:cs="Menlo"/>
          <w:color w:val="000000"/>
          <w:sz w:val="16"/>
          <w:szCs w:val="16"/>
        </w:rPr>
        <w:t>num_students</w:t>
      </w:r>
      <w:proofErr w:type="spellEnd"/>
      <w:r w:rsidRPr="00C7129C">
        <w:rPr>
          <w:rFonts w:ascii="Courier" w:hAnsi="Courier" w:cs="Menlo"/>
          <w:color w:val="000000"/>
          <w:sz w:val="16"/>
          <w:szCs w:val="16"/>
        </w:rPr>
        <w:t xml:space="preserve"> </w:t>
      </w:r>
      <w:proofErr w:type="spellStart"/>
      <w:r w:rsidRPr="00C7129C">
        <w:rPr>
          <w:rFonts w:ascii="Courier" w:hAnsi="Courier" w:cs="Menlo"/>
          <w:color w:val="000000"/>
          <w:sz w:val="16"/>
          <w:szCs w:val="16"/>
        </w:rPr>
        <w:t>student_staff_ratio</w:t>
      </w:r>
      <w:proofErr w:type="spellEnd"/>
      <w:r w:rsidRPr="00C7129C">
        <w:rPr>
          <w:rFonts w:ascii="Courier" w:hAnsi="Courier" w:cs="Menlo"/>
          <w:color w:val="000000"/>
          <w:sz w:val="16"/>
          <w:szCs w:val="16"/>
        </w:rPr>
        <w:t xml:space="preserve"> </w:t>
      </w:r>
      <w:proofErr w:type="spellStart"/>
      <w:r w:rsidRPr="00C7129C">
        <w:rPr>
          <w:rFonts w:ascii="Courier" w:hAnsi="Courier" w:cs="Menlo"/>
          <w:color w:val="000000"/>
          <w:sz w:val="16"/>
          <w:szCs w:val="16"/>
        </w:rPr>
        <w:t>international_students</w:t>
      </w:r>
      <w:proofErr w:type="spellEnd"/>
      <w:r w:rsidRPr="00C7129C">
        <w:rPr>
          <w:rFonts w:ascii="Courier" w:hAnsi="Courier" w:cs="Menlo"/>
          <w:color w:val="000000"/>
          <w:sz w:val="16"/>
          <w:szCs w:val="16"/>
        </w:rPr>
        <w:t xml:space="preserve"> </w:t>
      </w:r>
      <w:proofErr w:type="spellStart"/>
      <w:r w:rsidRPr="00C7129C">
        <w:rPr>
          <w:rFonts w:ascii="Courier" w:hAnsi="Courier" w:cs="Menlo"/>
          <w:color w:val="000000"/>
          <w:sz w:val="16"/>
          <w:szCs w:val="16"/>
        </w:rPr>
        <w:t>female_male_ratio</w:t>
      </w:r>
      <w:proofErr w:type="spellEnd"/>
      <w:r w:rsidRPr="00C7129C">
        <w:rPr>
          <w:rFonts w:ascii="Courier" w:hAnsi="Courier" w:cs="Menlo"/>
          <w:color w:val="000000"/>
          <w:sz w:val="16"/>
          <w:szCs w:val="16"/>
        </w:rPr>
        <w:t>;</w:t>
      </w:r>
    </w:p>
    <w:p w14:paraId="2DA663D4"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r w:rsidRPr="00C7129C">
        <w:rPr>
          <w:rFonts w:ascii="Courier" w:hAnsi="Courier" w:cs="Menlo"/>
          <w:color w:val="000000"/>
          <w:sz w:val="16"/>
          <w:szCs w:val="16"/>
        </w:rPr>
        <w:t>RUN</w:t>
      </w:r>
      <w:proofErr w:type="gramStart"/>
      <w:r w:rsidRPr="00C7129C">
        <w:rPr>
          <w:rFonts w:ascii="Courier" w:hAnsi="Courier" w:cs="Menlo"/>
          <w:color w:val="000000"/>
          <w:sz w:val="16"/>
          <w:szCs w:val="16"/>
        </w:rPr>
        <w:t>;</w:t>
      </w:r>
      <w:proofErr w:type="gramEnd"/>
    </w:p>
    <w:p w14:paraId="63508957"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p>
    <w:p w14:paraId="23B1B9D4"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r w:rsidRPr="00C7129C">
        <w:rPr>
          <w:rFonts w:ascii="Courier" w:hAnsi="Courier" w:cs="Menlo"/>
          <w:color w:val="000000"/>
          <w:sz w:val="16"/>
          <w:szCs w:val="16"/>
        </w:rPr>
        <w:t>PROC SGSCATTER DATA=WORK.PROJECT2;</w:t>
      </w:r>
    </w:p>
    <w:p w14:paraId="7432D114"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r w:rsidRPr="00C7129C">
        <w:rPr>
          <w:rFonts w:ascii="Courier" w:hAnsi="Courier" w:cs="Menlo"/>
          <w:color w:val="000000"/>
          <w:sz w:val="16"/>
          <w:szCs w:val="16"/>
        </w:rPr>
        <w:t xml:space="preserve">    MATRIX </w:t>
      </w:r>
      <w:proofErr w:type="spellStart"/>
      <w:r w:rsidRPr="00C7129C">
        <w:rPr>
          <w:rFonts w:ascii="Courier" w:hAnsi="Courier" w:cs="Menlo"/>
          <w:color w:val="000000"/>
          <w:sz w:val="16"/>
          <w:szCs w:val="16"/>
        </w:rPr>
        <w:t>total_score</w:t>
      </w:r>
      <w:proofErr w:type="spellEnd"/>
      <w:r w:rsidRPr="00C7129C">
        <w:rPr>
          <w:rFonts w:ascii="Courier" w:hAnsi="Courier" w:cs="Menlo"/>
          <w:color w:val="000000"/>
          <w:sz w:val="16"/>
          <w:szCs w:val="16"/>
        </w:rPr>
        <w:t xml:space="preserve"> teaching international research citations income </w:t>
      </w:r>
      <w:proofErr w:type="spellStart"/>
      <w:r w:rsidRPr="00C7129C">
        <w:rPr>
          <w:rFonts w:ascii="Courier" w:hAnsi="Courier" w:cs="Menlo"/>
          <w:color w:val="000000"/>
          <w:sz w:val="16"/>
          <w:szCs w:val="16"/>
        </w:rPr>
        <w:t>num_students</w:t>
      </w:r>
      <w:proofErr w:type="spellEnd"/>
      <w:r w:rsidRPr="00C7129C">
        <w:rPr>
          <w:rFonts w:ascii="Courier" w:hAnsi="Courier" w:cs="Menlo"/>
          <w:color w:val="000000"/>
          <w:sz w:val="16"/>
          <w:szCs w:val="16"/>
        </w:rPr>
        <w:t xml:space="preserve"> </w:t>
      </w:r>
      <w:proofErr w:type="spellStart"/>
      <w:r w:rsidRPr="00C7129C">
        <w:rPr>
          <w:rFonts w:ascii="Courier" w:hAnsi="Courier" w:cs="Menlo"/>
          <w:color w:val="000000"/>
          <w:sz w:val="16"/>
          <w:szCs w:val="16"/>
        </w:rPr>
        <w:t>student_staff_ratio</w:t>
      </w:r>
      <w:proofErr w:type="spellEnd"/>
      <w:r w:rsidRPr="00C7129C">
        <w:rPr>
          <w:rFonts w:ascii="Courier" w:hAnsi="Courier" w:cs="Menlo"/>
          <w:color w:val="000000"/>
          <w:sz w:val="16"/>
          <w:szCs w:val="16"/>
        </w:rPr>
        <w:t xml:space="preserve"> </w:t>
      </w:r>
      <w:proofErr w:type="spellStart"/>
      <w:r w:rsidRPr="00C7129C">
        <w:rPr>
          <w:rFonts w:ascii="Courier" w:hAnsi="Courier" w:cs="Menlo"/>
          <w:color w:val="000000"/>
          <w:sz w:val="16"/>
          <w:szCs w:val="16"/>
        </w:rPr>
        <w:t>international_students</w:t>
      </w:r>
      <w:proofErr w:type="spellEnd"/>
      <w:r w:rsidRPr="00C7129C">
        <w:rPr>
          <w:rFonts w:ascii="Courier" w:hAnsi="Courier" w:cs="Menlo"/>
          <w:color w:val="000000"/>
          <w:sz w:val="16"/>
          <w:szCs w:val="16"/>
        </w:rPr>
        <w:t xml:space="preserve"> </w:t>
      </w:r>
      <w:proofErr w:type="spellStart"/>
      <w:r w:rsidRPr="00C7129C">
        <w:rPr>
          <w:rFonts w:ascii="Courier" w:hAnsi="Courier" w:cs="Menlo"/>
          <w:color w:val="000000"/>
          <w:sz w:val="16"/>
          <w:szCs w:val="16"/>
        </w:rPr>
        <w:t>female_male_ratio</w:t>
      </w:r>
      <w:proofErr w:type="spellEnd"/>
      <w:r w:rsidRPr="00C7129C">
        <w:rPr>
          <w:rFonts w:ascii="Courier" w:hAnsi="Courier" w:cs="Menlo"/>
          <w:color w:val="000000"/>
          <w:sz w:val="16"/>
          <w:szCs w:val="16"/>
        </w:rPr>
        <w:t>;</w:t>
      </w:r>
    </w:p>
    <w:p w14:paraId="5C8BEF04"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r w:rsidRPr="00C7129C">
        <w:rPr>
          <w:rFonts w:ascii="Courier" w:hAnsi="Courier" w:cs="Menlo"/>
          <w:color w:val="000000"/>
          <w:sz w:val="16"/>
          <w:szCs w:val="16"/>
        </w:rPr>
        <w:t>RUN</w:t>
      </w:r>
      <w:proofErr w:type="gramStart"/>
      <w:r w:rsidRPr="00C7129C">
        <w:rPr>
          <w:rFonts w:ascii="Courier" w:hAnsi="Courier" w:cs="Menlo"/>
          <w:color w:val="000000"/>
          <w:sz w:val="16"/>
          <w:szCs w:val="16"/>
        </w:rPr>
        <w:t>;</w:t>
      </w:r>
      <w:proofErr w:type="gramEnd"/>
    </w:p>
    <w:p w14:paraId="7F5D44F1"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p>
    <w:p w14:paraId="382ABF3F"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r w:rsidRPr="00C7129C">
        <w:rPr>
          <w:rFonts w:ascii="Courier" w:hAnsi="Courier" w:cs="Menlo"/>
          <w:color w:val="000000"/>
          <w:sz w:val="16"/>
          <w:szCs w:val="16"/>
        </w:rPr>
        <w:t xml:space="preserve">PROC CORR DATA=WORK.PROJECT2 </w:t>
      </w:r>
      <w:proofErr w:type="gramStart"/>
      <w:r w:rsidRPr="00C7129C">
        <w:rPr>
          <w:rFonts w:ascii="Courier" w:hAnsi="Courier" w:cs="Menlo"/>
          <w:color w:val="000000"/>
          <w:sz w:val="16"/>
          <w:szCs w:val="16"/>
        </w:rPr>
        <w:t>PLOTS(</w:t>
      </w:r>
      <w:proofErr w:type="gramEnd"/>
      <w:r w:rsidRPr="00C7129C">
        <w:rPr>
          <w:rFonts w:ascii="Courier" w:hAnsi="Courier" w:cs="Menlo"/>
          <w:color w:val="000000"/>
          <w:sz w:val="16"/>
          <w:szCs w:val="16"/>
        </w:rPr>
        <w:t>MAXPOINTS=NONE) = MATRIX(NVAR=ALL);</w:t>
      </w:r>
    </w:p>
    <w:p w14:paraId="5AF7AABA"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r w:rsidRPr="00C7129C">
        <w:rPr>
          <w:rFonts w:ascii="Courier" w:hAnsi="Courier" w:cs="Menlo"/>
          <w:color w:val="000000"/>
          <w:sz w:val="16"/>
          <w:szCs w:val="16"/>
        </w:rPr>
        <w:t>RUN</w:t>
      </w:r>
      <w:proofErr w:type="gramStart"/>
      <w:r w:rsidRPr="00C7129C">
        <w:rPr>
          <w:rFonts w:ascii="Courier" w:hAnsi="Courier" w:cs="Menlo"/>
          <w:color w:val="000000"/>
          <w:sz w:val="16"/>
          <w:szCs w:val="16"/>
        </w:rPr>
        <w:t>;</w:t>
      </w:r>
      <w:proofErr w:type="gramEnd"/>
    </w:p>
    <w:p w14:paraId="6A5D8F6A"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p>
    <w:p w14:paraId="2253BA4A"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r w:rsidRPr="00C7129C">
        <w:rPr>
          <w:rFonts w:ascii="Courier" w:hAnsi="Courier" w:cs="Menlo"/>
          <w:color w:val="000000"/>
          <w:sz w:val="16"/>
          <w:szCs w:val="16"/>
        </w:rPr>
        <w:t>PROC PRINCOMP PLOTS=ALL DATA=WORK.PROJECT2 OUT=PCA;</w:t>
      </w:r>
    </w:p>
    <w:p w14:paraId="011E6820"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r w:rsidRPr="00C7129C">
        <w:rPr>
          <w:rFonts w:ascii="Courier" w:hAnsi="Courier" w:cs="Menlo"/>
          <w:color w:val="000000"/>
          <w:sz w:val="16"/>
          <w:szCs w:val="16"/>
        </w:rPr>
        <w:t xml:space="preserve">    VAR teaching international research citations income </w:t>
      </w:r>
      <w:proofErr w:type="spellStart"/>
      <w:r w:rsidRPr="00C7129C">
        <w:rPr>
          <w:rFonts w:ascii="Courier" w:hAnsi="Courier" w:cs="Menlo"/>
          <w:color w:val="000000"/>
          <w:sz w:val="16"/>
          <w:szCs w:val="16"/>
        </w:rPr>
        <w:t>num_students</w:t>
      </w:r>
      <w:proofErr w:type="spellEnd"/>
      <w:r w:rsidRPr="00C7129C">
        <w:rPr>
          <w:rFonts w:ascii="Courier" w:hAnsi="Courier" w:cs="Menlo"/>
          <w:color w:val="000000"/>
          <w:sz w:val="16"/>
          <w:szCs w:val="16"/>
        </w:rPr>
        <w:t xml:space="preserve"> </w:t>
      </w:r>
      <w:proofErr w:type="spellStart"/>
      <w:r w:rsidRPr="00C7129C">
        <w:rPr>
          <w:rFonts w:ascii="Courier" w:hAnsi="Courier" w:cs="Menlo"/>
          <w:color w:val="000000"/>
          <w:sz w:val="16"/>
          <w:szCs w:val="16"/>
        </w:rPr>
        <w:t>student_staff_ratio</w:t>
      </w:r>
      <w:proofErr w:type="spellEnd"/>
      <w:r w:rsidRPr="00C7129C">
        <w:rPr>
          <w:rFonts w:ascii="Courier" w:hAnsi="Courier" w:cs="Menlo"/>
          <w:color w:val="000000"/>
          <w:sz w:val="16"/>
          <w:szCs w:val="16"/>
        </w:rPr>
        <w:t xml:space="preserve"> </w:t>
      </w:r>
      <w:proofErr w:type="spellStart"/>
      <w:r w:rsidRPr="00C7129C">
        <w:rPr>
          <w:rFonts w:ascii="Courier" w:hAnsi="Courier" w:cs="Menlo"/>
          <w:color w:val="000000"/>
          <w:sz w:val="16"/>
          <w:szCs w:val="16"/>
        </w:rPr>
        <w:t>international_students</w:t>
      </w:r>
      <w:proofErr w:type="spellEnd"/>
      <w:r w:rsidRPr="00C7129C">
        <w:rPr>
          <w:rFonts w:ascii="Courier" w:hAnsi="Courier" w:cs="Menlo"/>
          <w:color w:val="000000"/>
          <w:sz w:val="16"/>
          <w:szCs w:val="16"/>
        </w:rPr>
        <w:t xml:space="preserve"> </w:t>
      </w:r>
      <w:proofErr w:type="spellStart"/>
      <w:r w:rsidRPr="00C7129C">
        <w:rPr>
          <w:rFonts w:ascii="Courier" w:hAnsi="Courier" w:cs="Menlo"/>
          <w:color w:val="000000"/>
          <w:sz w:val="16"/>
          <w:szCs w:val="16"/>
        </w:rPr>
        <w:t>female_male_ratio</w:t>
      </w:r>
      <w:proofErr w:type="spellEnd"/>
      <w:r w:rsidRPr="00C7129C">
        <w:rPr>
          <w:rFonts w:ascii="Courier" w:hAnsi="Courier" w:cs="Menlo"/>
          <w:color w:val="000000"/>
          <w:sz w:val="16"/>
          <w:szCs w:val="16"/>
        </w:rPr>
        <w:t>;</w:t>
      </w:r>
    </w:p>
    <w:p w14:paraId="068D52CB"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r w:rsidRPr="00C7129C">
        <w:rPr>
          <w:rFonts w:ascii="Courier" w:hAnsi="Courier" w:cs="Menlo"/>
          <w:color w:val="000000"/>
          <w:sz w:val="16"/>
          <w:szCs w:val="16"/>
        </w:rPr>
        <w:t>RUN</w:t>
      </w:r>
      <w:proofErr w:type="gramStart"/>
      <w:r w:rsidRPr="00C7129C">
        <w:rPr>
          <w:rFonts w:ascii="Courier" w:hAnsi="Courier" w:cs="Menlo"/>
          <w:color w:val="000000"/>
          <w:sz w:val="16"/>
          <w:szCs w:val="16"/>
        </w:rPr>
        <w:t>;</w:t>
      </w:r>
      <w:proofErr w:type="gramEnd"/>
    </w:p>
    <w:p w14:paraId="76ADEDF1"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p>
    <w:p w14:paraId="098E24BB"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r w:rsidRPr="00C7129C">
        <w:rPr>
          <w:rFonts w:ascii="Courier" w:hAnsi="Courier" w:cs="Menlo"/>
          <w:color w:val="000000"/>
          <w:sz w:val="16"/>
          <w:szCs w:val="16"/>
        </w:rPr>
        <w:t xml:space="preserve">PROC REG DATA=PCA </w:t>
      </w:r>
      <w:proofErr w:type="spellStart"/>
      <w:r w:rsidRPr="00C7129C">
        <w:rPr>
          <w:rFonts w:ascii="Courier" w:hAnsi="Courier" w:cs="Menlo"/>
          <w:color w:val="000000"/>
          <w:sz w:val="16"/>
          <w:szCs w:val="16"/>
        </w:rPr>
        <w:t>outest</w:t>
      </w:r>
      <w:proofErr w:type="spellEnd"/>
      <w:r w:rsidRPr="00C7129C">
        <w:rPr>
          <w:rFonts w:ascii="Courier" w:hAnsi="Courier" w:cs="Menlo"/>
          <w:color w:val="000000"/>
          <w:sz w:val="16"/>
          <w:szCs w:val="16"/>
        </w:rPr>
        <w:t xml:space="preserve">=PCARESULT </w:t>
      </w:r>
      <w:proofErr w:type="gramStart"/>
      <w:r w:rsidRPr="00C7129C">
        <w:rPr>
          <w:rFonts w:ascii="Courier" w:hAnsi="Courier" w:cs="Menlo"/>
          <w:color w:val="000000"/>
          <w:sz w:val="16"/>
          <w:szCs w:val="16"/>
        </w:rPr>
        <w:t>plots(</w:t>
      </w:r>
      <w:proofErr w:type="gramEnd"/>
      <w:r w:rsidRPr="00C7129C">
        <w:rPr>
          <w:rFonts w:ascii="Courier" w:hAnsi="Courier" w:cs="Menlo"/>
          <w:color w:val="000000"/>
          <w:sz w:val="16"/>
          <w:szCs w:val="16"/>
        </w:rPr>
        <w:t>label) = (</w:t>
      </w:r>
      <w:proofErr w:type="spellStart"/>
      <w:r w:rsidRPr="00C7129C">
        <w:rPr>
          <w:rFonts w:ascii="Courier" w:hAnsi="Courier" w:cs="Menlo"/>
          <w:color w:val="000000"/>
          <w:sz w:val="16"/>
          <w:szCs w:val="16"/>
        </w:rPr>
        <w:t>rstudentbyleverage</w:t>
      </w:r>
      <w:proofErr w:type="spellEnd"/>
      <w:r w:rsidRPr="00C7129C">
        <w:rPr>
          <w:rFonts w:ascii="Courier" w:hAnsi="Courier" w:cs="Menlo"/>
          <w:color w:val="000000"/>
          <w:sz w:val="16"/>
          <w:szCs w:val="16"/>
        </w:rPr>
        <w:t xml:space="preserve"> </w:t>
      </w:r>
      <w:proofErr w:type="spellStart"/>
      <w:r w:rsidRPr="00C7129C">
        <w:rPr>
          <w:rFonts w:ascii="Courier" w:hAnsi="Courier" w:cs="Menlo"/>
          <w:color w:val="000000"/>
          <w:sz w:val="16"/>
          <w:szCs w:val="16"/>
        </w:rPr>
        <w:t>cooksd</w:t>
      </w:r>
      <w:proofErr w:type="spellEnd"/>
      <w:r w:rsidRPr="00C7129C">
        <w:rPr>
          <w:rFonts w:ascii="Courier" w:hAnsi="Courier" w:cs="Menlo"/>
          <w:color w:val="000000"/>
          <w:sz w:val="16"/>
          <w:szCs w:val="16"/>
        </w:rPr>
        <w:t>);;</w:t>
      </w:r>
    </w:p>
    <w:p w14:paraId="2D23DCFF"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r w:rsidRPr="00C7129C">
        <w:rPr>
          <w:rFonts w:ascii="Courier" w:hAnsi="Courier" w:cs="Menlo"/>
          <w:color w:val="000000"/>
          <w:sz w:val="16"/>
          <w:szCs w:val="16"/>
        </w:rPr>
        <w:t xml:space="preserve">    MODEL TOTAL_SCORE=PRIN1-PRIN4;</w:t>
      </w:r>
    </w:p>
    <w:p w14:paraId="53E1EBEA"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r w:rsidRPr="00C7129C">
        <w:rPr>
          <w:rFonts w:ascii="Courier" w:hAnsi="Courier" w:cs="Menlo"/>
          <w:color w:val="000000"/>
          <w:sz w:val="16"/>
          <w:szCs w:val="16"/>
        </w:rPr>
        <w:t>RUN</w:t>
      </w:r>
      <w:proofErr w:type="gramStart"/>
      <w:r w:rsidRPr="00C7129C">
        <w:rPr>
          <w:rFonts w:ascii="Courier" w:hAnsi="Courier" w:cs="Menlo"/>
          <w:color w:val="000000"/>
          <w:sz w:val="16"/>
          <w:szCs w:val="16"/>
        </w:rPr>
        <w:t>;</w:t>
      </w:r>
      <w:proofErr w:type="gramEnd"/>
    </w:p>
    <w:p w14:paraId="1D246293"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p>
    <w:p w14:paraId="17E670D4"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r w:rsidRPr="00C7129C">
        <w:rPr>
          <w:rFonts w:ascii="Courier" w:hAnsi="Courier" w:cs="Menlo"/>
          <w:color w:val="000000"/>
          <w:sz w:val="16"/>
          <w:szCs w:val="16"/>
        </w:rPr>
        <w:t>PROC CORR DATA=PCA PLOTS=</w:t>
      </w:r>
      <w:proofErr w:type="gramStart"/>
      <w:r w:rsidRPr="00C7129C">
        <w:rPr>
          <w:rFonts w:ascii="Courier" w:hAnsi="Courier" w:cs="Menlo"/>
          <w:color w:val="000000"/>
          <w:sz w:val="16"/>
          <w:szCs w:val="16"/>
        </w:rPr>
        <w:t>MATRIX(</w:t>
      </w:r>
      <w:proofErr w:type="gramEnd"/>
      <w:r w:rsidRPr="00C7129C">
        <w:rPr>
          <w:rFonts w:ascii="Courier" w:hAnsi="Courier" w:cs="Menlo"/>
          <w:color w:val="000000"/>
          <w:sz w:val="16"/>
          <w:szCs w:val="16"/>
        </w:rPr>
        <w:t>HISTOGRAM);</w:t>
      </w:r>
    </w:p>
    <w:p w14:paraId="7E833D2B" w14:textId="77777777" w:rsidR="00C7129C"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r w:rsidRPr="00C7129C">
        <w:rPr>
          <w:rFonts w:ascii="Courier" w:hAnsi="Courier" w:cs="Menlo"/>
          <w:color w:val="000000"/>
          <w:sz w:val="16"/>
          <w:szCs w:val="16"/>
        </w:rPr>
        <w:t xml:space="preserve">    VAR TOTAL_SCORE PRIN1-PRIN4;</w:t>
      </w:r>
    </w:p>
    <w:p w14:paraId="6308BFED" w14:textId="0FA087C8" w:rsidR="000C7AE8" w:rsidRPr="00C7129C" w:rsidRDefault="00C7129C" w:rsidP="00C71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w:hAnsi="Courier" w:cs="Menlo"/>
          <w:color w:val="000000"/>
          <w:sz w:val="16"/>
          <w:szCs w:val="16"/>
        </w:rPr>
      </w:pPr>
      <w:r w:rsidRPr="00C7129C">
        <w:rPr>
          <w:rFonts w:ascii="Courier" w:hAnsi="Courier" w:cs="Menlo"/>
          <w:color w:val="000000"/>
          <w:sz w:val="16"/>
          <w:szCs w:val="16"/>
        </w:rPr>
        <w:t>RUN</w:t>
      </w:r>
      <w:proofErr w:type="gramStart"/>
      <w:r w:rsidRPr="00C7129C">
        <w:rPr>
          <w:rFonts w:ascii="Courier" w:hAnsi="Courier" w:cs="Menlo"/>
          <w:color w:val="000000"/>
          <w:sz w:val="16"/>
          <w:szCs w:val="16"/>
        </w:rPr>
        <w:t>;</w:t>
      </w:r>
      <w:proofErr w:type="gramEnd"/>
    </w:p>
    <w:sectPr w:rsidR="000C7AE8" w:rsidRPr="00C7129C" w:rsidSect="00D452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6E3803" w14:textId="77777777" w:rsidR="00DB16BC" w:rsidRDefault="00DB16BC" w:rsidP="00632B6B">
      <w:pPr>
        <w:spacing w:after="0" w:line="240" w:lineRule="auto"/>
      </w:pPr>
      <w:r>
        <w:separator/>
      </w:r>
    </w:p>
  </w:endnote>
  <w:endnote w:type="continuationSeparator" w:id="0">
    <w:p w14:paraId="5BBB6744" w14:textId="77777777" w:rsidR="00DB16BC" w:rsidRDefault="00DB16BC" w:rsidP="00632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Menlo">
    <w:charset w:val="00"/>
    <w:family w:val="auto"/>
    <w:pitch w:val="variable"/>
    <w:sig w:usb0="E60022FF" w:usb1="D200F9FB" w:usb2="02000028" w:usb3="00000000" w:csb0="000001D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35B742" w14:textId="77777777" w:rsidR="00DB16BC" w:rsidRDefault="00DB16BC" w:rsidP="00632B6B">
      <w:pPr>
        <w:spacing w:after="0" w:line="240" w:lineRule="auto"/>
      </w:pPr>
      <w:r>
        <w:separator/>
      </w:r>
    </w:p>
  </w:footnote>
  <w:footnote w:type="continuationSeparator" w:id="0">
    <w:p w14:paraId="141D6C15" w14:textId="77777777" w:rsidR="00DB16BC" w:rsidRDefault="00DB16BC" w:rsidP="00632B6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4755A"/>
    <w:multiLevelType w:val="hybridMultilevel"/>
    <w:tmpl w:val="50B23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494A46"/>
    <w:multiLevelType w:val="hybridMultilevel"/>
    <w:tmpl w:val="2A7C4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522FF1"/>
    <w:multiLevelType w:val="hybridMultilevel"/>
    <w:tmpl w:val="86EED0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DC2"/>
    <w:rsid w:val="00004CE7"/>
    <w:rsid w:val="000154E4"/>
    <w:rsid w:val="00022350"/>
    <w:rsid w:val="00022D55"/>
    <w:rsid w:val="000246D9"/>
    <w:rsid w:val="000278DE"/>
    <w:rsid w:val="00083ADB"/>
    <w:rsid w:val="000934B1"/>
    <w:rsid w:val="000B2097"/>
    <w:rsid w:val="000C01C0"/>
    <w:rsid w:val="000C7AE8"/>
    <w:rsid w:val="000F1063"/>
    <w:rsid w:val="00101021"/>
    <w:rsid w:val="00131E8F"/>
    <w:rsid w:val="001401AE"/>
    <w:rsid w:val="001444A0"/>
    <w:rsid w:val="00150D33"/>
    <w:rsid w:val="00161A23"/>
    <w:rsid w:val="001640CB"/>
    <w:rsid w:val="00182E54"/>
    <w:rsid w:val="001B0B3A"/>
    <w:rsid w:val="001C7BFF"/>
    <w:rsid w:val="001D0EE4"/>
    <w:rsid w:val="001D2A6C"/>
    <w:rsid w:val="001D4FD4"/>
    <w:rsid w:val="00204826"/>
    <w:rsid w:val="00220A08"/>
    <w:rsid w:val="002257F7"/>
    <w:rsid w:val="00236AF2"/>
    <w:rsid w:val="00250A5F"/>
    <w:rsid w:val="0025275F"/>
    <w:rsid w:val="00256954"/>
    <w:rsid w:val="00266903"/>
    <w:rsid w:val="002738B9"/>
    <w:rsid w:val="00277BDF"/>
    <w:rsid w:val="00277C8B"/>
    <w:rsid w:val="00284DCD"/>
    <w:rsid w:val="002A46BB"/>
    <w:rsid w:val="002A69CA"/>
    <w:rsid w:val="002B2922"/>
    <w:rsid w:val="002B7E71"/>
    <w:rsid w:val="002C24A7"/>
    <w:rsid w:val="002C5B6B"/>
    <w:rsid w:val="002D045B"/>
    <w:rsid w:val="002D1747"/>
    <w:rsid w:val="002F161B"/>
    <w:rsid w:val="002F7A47"/>
    <w:rsid w:val="00303FF0"/>
    <w:rsid w:val="00320D17"/>
    <w:rsid w:val="00321065"/>
    <w:rsid w:val="0034161D"/>
    <w:rsid w:val="00343A75"/>
    <w:rsid w:val="0034581C"/>
    <w:rsid w:val="0035371C"/>
    <w:rsid w:val="0035423D"/>
    <w:rsid w:val="00364A8D"/>
    <w:rsid w:val="00390BD0"/>
    <w:rsid w:val="003A45D7"/>
    <w:rsid w:val="003B3C0E"/>
    <w:rsid w:val="003C18E5"/>
    <w:rsid w:val="003C5D6F"/>
    <w:rsid w:val="003C679B"/>
    <w:rsid w:val="003D2C15"/>
    <w:rsid w:val="003D305F"/>
    <w:rsid w:val="003D50A4"/>
    <w:rsid w:val="003E17A9"/>
    <w:rsid w:val="003F5379"/>
    <w:rsid w:val="00400C19"/>
    <w:rsid w:val="00424874"/>
    <w:rsid w:val="00451D66"/>
    <w:rsid w:val="00453414"/>
    <w:rsid w:val="0045458A"/>
    <w:rsid w:val="004609CF"/>
    <w:rsid w:val="00463920"/>
    <w:rsid w:val="00463B1A"/>
    <w:rsid w:val="00464CE6"/>
    <w:rsid w:val="00480998"/>
    <w:rsid w:val="004B017B"/>
    <w:rsid w:val="004C3E43"/>
    <w:rsid w:val="004D2884"/>
    <w:rsid w:val="004E1EA8"/>
    <w:rsid w:val="004F2004"/>
    <w:rsid w:val="004F7189"/>
    <w:rsid w:val="00501449"/>
    <w:rsid w:val="0050787D"/>
    <w:rsid w:val="00516196"/>
    <w:rsid w:val="00535973"/>
    <w:rsid w:val="00546B22"/>
    <w:rsid w:val="005568E6"/>
    <w:rsid w:val="00556D89"/>
    <w:rsid w:val="00562C87"/>
    <w:rsid w:val="005671EA"/>
    <w:rsid w:val="00584A6C"/>
    <w:rsid w:val="00590AB5"/>
    <w:rsid w:val="005A1F2E"/>
    <w:rsid w:val="005B3F66"/>
    <w:rsid w:val="005C0099"/>
    <w:rsid w:val="005C1CFF"/>
    <w:rsid w:val="005C773D"/>
    <w:rsid w:val="005D70AB"/>
    <w:rsid w:val="005F330D"/>
    <w:rsid w:val="00612116"/>
    <w:rsid w:val="00632B6B"/>
    <w:rsid w:val="00635CF7"/>
    <w:rsid w:val="00647B29"/>
    <w:rsid w:val="00651DD1"/>
    <w:rsid w:val="006524B7"/>
    <w:rsid w:val="00663598"/>
    <w:rsid w:val="006652E8"/>
    <w:rsid w:val="0067190D"/>
    <w:rsid w:val="00690EFF"/>
    <w:rsid w:val="00695B13"/>
    <w:rsid w:val="006A37A5"/>
    <w:rsid w:val="006A4A1D"/>
    <w:rsid w:val="006B0BE1"/>
    <w:rsid w:val="006C0ED0"/>
    <w:rsid w:val="006C29DF"/>
    <w:rsid w:val="006D353C"/>
    <w:rsid w:val="006D67A8"/>
    <w:rsid w:val="006D77AB"/>
    <w:rsid w:val="006E3FE4"/>
    <w:rsid w:val="007027D0"/>
    <w:rsid w:val="00715F61"/>
    <w:rsid w:val="0074277B"/>
    <w:rsid w:val="007428CC"/>
    <w:rsid w:val="007506F5"/>
    <w:rsid w:val="00752C84"/>
    <w:rsid w:val="00755A9B"/>
    <w:rsid w:val="00756E75"/>
    <w:rsid w:val="00762B4A"/>
    <w:rsid w:val="0078763F"/>
    <w:rsid w:val="007930ED"/>
    <w:rsid w:val="007937FF"/>
    <w:rsid w:val="00794860"/>
    <w:rsid w:val="007960EA"/>
    <w:rsid w:val="007A3219"/>
    <w:rsid w:val="007A538F"/>
    <w:rsid w:val="007B0632"/>
    <w:rsid w:val="007C781E"/>
    <w:rsid w:val="007C7B60"/>
    <w:rsid w:val="007E0C1F"/>
    <w:rsid w:val="007F720C"/>
    <w:rsid w:val="0081302A"/>
    <w:rsid w:val="008150E9"/>
    <w:rsid w:val="00824CCD"/>
    <w:rsid w:val="00833C0A"/>
    <w:rsid w:val="0084121B"/>
    <w:rsid w:val="00872443"/>
    <w:rsid w:val="00876D27"/>
    <w:rsid w:val="00892714"/>
    <w:rsid w:val="008A34F6"/>
    <w:rsid w:val="008A5731"/>
    <w:rsid w:val="008A5B6C"/>
    <w:rsid w:val="008B2085"/>
    <w:rsid w:val="008B5A93"/>
    <w:rsid w:val="008C272E"/>
    <w:rsid w:val="008C2E69"/>
    <w:rsid w:val="008C3F36"/>
    <w:rsid w:val="008D1827"/>
    <w:rsid w:val="008E1A4B"/>
    <w:rsid w:val="008E7A5F"/>
    <w:rsid w:val="008F4F22"/>
    <w:rsid w:val="00913DCE"/>
    <w:rsid w:val="00943B89"/>
    <w:rsid w:val="00952C2C"/>
    <w:rsid w:val="00953A88"/>
    <w:rsid w:val="00954AB5"/>
    <w:rsid w:val="0096660F"/>
    <w:rsid w:val="00972E06"/>
    <w:rsid w:val="0099315F"/>
    <w:rsid w:val="009A2E68"/>
    <w:rsid w:val="009A2ED9"/>
    <w:rsid w:val="009A45B1"/>
    <w:rsid w:val="009B0B12"/>
    <w:rsid w:val="009B3D40"/>
    <w:rsid w:val="009C5FCC"/>
    <w:rsid w:val="009D6611"/>
    <w:rsid w:val="009E4CDC"/>
    <w:rsid w:val="009E5751"/>
    <w:rsid w:val="009E7F84"/>
    <w:rsid w:val="00A006BD"/>
    <w:rsid w:val="00A00C6A"/>
    <w:rsid w:val="00A031C0"/>
    <w:rsid w:val="00A0602D"/>
    <w:rsid w:val="00A14C13"/>
    <w:rsid w:val="00A156D9"/>
    <w:rsid w:val="00A22BDD"/>
    <w:rsid w:val="00A26598"/>
    <w:rsid w:val="00A271AC"/>
    <w:rsid w:val="00A3105F"/>
    <w:rsid w:val="00A37FF2"/>
    <w:rsid w:val="00A43B5A"/>
    <w:rsid w:val="00A45A9C"/>
    <w:rsid w:val="00A47937"/>
    <w:rsid w:val="00A750AE"/>
    <w:rsid w:val="00A8225C"/>
    <w:rsid w:val="00A96875"/>
    <w:rsid w:val="00AA5245"/>
    <w:rsid w:val="00AB45FB"/>
    <w:rsid w:val="00AB732F"/>
    <w:rsid w:val="00AC3CB9"/>
    <w:rsid w:val="00AC6820"/>
    <w:rsid w:val="00AD2C35"/>
    <w:rsid w:val="00AE1484"/>
    <w:rsid w:val="00B038C6"/>
    <w:rsid w:val="00B2550C"/>
    <w:rsid w:val="00B406F0"/>
    <w:rsid w:val="00B411D6"/>
    <w:rsid w:val="00B453FA"/>
    <w:rsid w:val="00B54F1F"/>
    <w:rsid w:val="00B57155"/>
    <w:rsid w:val="00B62D58"/>
    <w:rsid w:val="00B73579"/>
    <w:rsid w:val="00B76564"/>
    <w:rsid w:val="00B827AA"/>
    <w:rsid w:val="00B82F33"/>
    <w:rsid w:val="00B85EEF"/>
    <w:rsid w:val="00B873EF"/>
    <w:rsid w:val="00B875E2"/>
    <w:rsid w:val="00B90299"/>
    <w:rsid w:val="00BA5844"/>
    <w:rsid w:val="00BB1085"/>
    <w:rsid w:val="00BB4923"/>
    <w:rsid w:val="00BC6B5D"/>
    <w:rsid w:val="00BD4DC2"/>
    <w:rsid w:val="00BE5790"/>
    <w:rsid w:val="00BE62DD"/>
    <w:rsid w:val="00BF7A6B"/>
    <w:rsid w:val="00C00349"/>
    <w:rsid w:val="00C03DA1"/>
    <w:rsid w:val="00C05A81"/>
    <w:rsid w:val="00C07BF3"/>
    <w:rsid w:val="00C1020B"/>
    <w:rsid w:val="00C10F1B"/>
    <w:rsid w:val="00C12997"/>
    <w:rsid w:val="00C4573A"/>
    <w:rsid w:val="00C45DB8"/>
    <w:rsid w:val="00C45EF9"/>
    <w:rsid w:val="00C46EB2"/>
    <w:rsid w:val="00C50AE9"/>
    <w:rsid w:val="00C61049"/>
    <w:rsid w:val="00C7129C"/>
    <w:rsid w:val="00C76AF4"/>
    <w:rsid w:val="00C81FE0"/>
    <w:rsid w:val="00C96B2C"/>
    <w:rsid w:val="00CA2F69"/>
    <w:rsid w:val="00CB795A"/>
    <w:rsid w:val="00CC132B"/>
    <w:rsid w:val="00CC64A0"/>
    <w:rsid w:val="00CE4DA0"/>
    <w:rsid w:val="00CF2C3D"/>
    <w:rsid w:val="00CF7B4B"/>
    <w:rsid w:val="00D12711"/>
    <w:rsid w:val="00D15529"/>
    <w:rsid w:val="00D259FC"/>
    <w:rsid w:val="00D370CE"/>
    <w:rsid w:val="00D43888"/>
    <w:rsid w:val="00D452C9"/>
    <w:rsid w:val="00D54C62"/>
    <w:rsid w:val="00D55D24"/>
    <w:rsid w:val="00D6215E"/>
    <w:rsid w:val="00D7726A"/>
    <w:rsid w:val="00D86C69"/>
    <w:rsid w:val="00DA4E68"/>
    <w:rsid w:val="00DA6860"/>
    <w:rsid w:val="00DA7E20"/>
    <w:rsid w:val="00DB16BC"/>
    <w:rsid w:val="00DC0497"/>
    <w:rsid w:val="00DC0DEA"/>
    <w:rsid w:val="00DE59A0"/>
    <w:rsid w:val="00DF7868"/>
    <w:rsid w:val="00E01C2A"/>
    <w:rsid w:val="00E07414"/>
    <w:rsid w:val="00E11DE2"/>
    <w:rsid w:val="00E11EB1"/>
    <w:rsid w:val="00E256E7"/>
    <w:rsid w:val="00E25710"/>
    <w:rsid w:val="00E2654F"/>
    <w:rsid w:val="00E408DB"/>
    <w:rsid w:val="00E438D0"/>
    <w:rsid w:val="00E46312"/>
    <w:rsid w:val="00E547E7"/>
    <w:rsid w:val="00E562E5"/>
    <w:rsid w:val="00E57404"/>
    <w:rsid w:val="00E723BC"/>
    <w:rsid w:val="00E7320A"/>
    <w:rsid w:val="00E73435"/>
    <w:rsid w:val="00E8101C"/>
    <w:rsid w:val="00E90D71"/>
    <w:rsid w:val="00E928A3"/>
    <w:rsid w:val="00E9377A"/>
    <w:rsid w:val="00EA5A5B"/>
    <w:rsid w:val="00EB1F32"/>
    <w:rsid w:val="00EB5401"/>
    <w:rsid w:val="00EC118C"/>
    <w:rsid w:val="00EC2344"/>
    <w:rsid w:val="00EC4546"/>
    <w:rsid w:val="00EC4E82"/>
    <w:rsid w:val="00ED56F9"/>
    <w:rsid w:val="00EE03FF"/>
    <w:rsid w:val="00EF2A1D"/>
    <w:rsid w:val="00F00E52"/>
    <w:rsid w:val="00F01530"/>
    <w:rsid w:val="00F02690"/>
    <w:rsid w:val="00F034A2"/>
    <w:rsid w:val="00F14AFF"/>
    <w:rsid w:val="00F21984"/>
    <w:rsid w:val="00F3328D"/>
    <w:rsid w:val="00F4273E"/>
    <w:rsid w:val="00F45A92"/>
    <w:rsid w:val="00F571BC"/>
    <w:rsid w:val="00F6235C"/>
    <w:rsid w:val="00F70E1D"/>
    <w:rsid w:val="00F71EB1"/>
    <w:rsid w:val="00F72EFD"/>
    <w:rsid w:val="00F74963"/>
    <w:rsid w:val="00F77551"/>
    <w:rsid w:val="00F875E5"/>
    <w:rsid w:val="00F87D7E"/>
    <w:rsid w:val="00FB653B"/>
    <w:rsid w:val="00FB6FF6"/>
    <w:rsid w:val="00FC281F"/>
    <w:rsid w:val="00FD08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598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4D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D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D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DC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4DC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01530"/>
    <w:pPr>
      <w:ind w:left="720"/>
      <w:contextualSpacing/>
    </w:pPr>
  </w:style>
  <w:style w:type="character" w:customStyle="1" w:styleId="Heading2Char">
    <w:name w:val="Heading 2 Char"/>
    <w:basedOn w:val="DefaultParagraphFont"/>
    <w:link w:val="Heading2"/>
    <w:uiPriority w:val="9"/>
    <w:rsid w:val="00320D1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20D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F161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161B"/>
    <w:rPr>
      <w:rFonts w:ascii="Lucida Grande" w:hAnsi="Lucida Grande" w:cs="Lucida Grande"/>
      <w:sz w:val="18"/>
      <w:szCs w:val="18"/>
    </w:rPr>
  </w:style>
  <w:style w:type="paragraph" w:styleId="Header">
    <w:name w:val="header"/>
    <w:basedOn w:val="Normal"/>
    <w:link w:val="HeaderChar"/>
    <w:uiPriority w:val="99"/>
    <w:unhideWhenUsed/>
    <w:rsid w:val="00632B6B"/>
    <w:pPr>
      <w:tabs>
        <w:tab w:val="center" w:pos="4320"/>
        <w:tab w:val="right" w:pos="8640"/>
      </w:tabs>
      <w:spacing w:after="0" w:line="240" w:lineRule="auto"/>
    </w:pPr>
  </w:style>
  <w:style w:type="character" w:customStyle="1" w:styleId="HeaderChar">
    <w:name w:val="Header Char"/>
    <w:basedOn w:val="DefaultParagraphFont"/>
    <w:link w:val="Header"/>
    <w:uiPriority w:val="99"/>
    <w:rsid w:val="00632B6B"/>
  </w:style>
  <w:style w:type="paragraph" w:styleId="Footer">
    <w:name w:val="footer"/>
    <w:basedOn w:val="Normal"/>
    <w:link w:val="FooterChar"/>
    <w:uiPriority w:val="99"/>
    <w:unhideWhenUsed/>
    <w:rsid w:val="00632B6B"/>
    <w:pPr>
      <w:tabs>
        <w:tab w:val="center" w:pos="4320"/>
        <w:tab w:val="right" w:pos="8640"/>
      </w:tabs>
      <w:spacing w:after="0" w:line="240" w:lineRule="auto"/>
    </w:pPr>
  </w:style>
  <w:style w:type="character" w:customStyle="1" w:styleId="FooterChar">
    <w:name w:val="Footer Char"/>
    <w:basedOn w:val="DefaultParagraphFont"/>
    <w:link w:val="Footer"/>
    <w:uiPriority w:val="99"/>
    <w:rsid w:val="00632B6B"/>
  </w:style>
  <w:style w:type="character" w:styleId="PlaceholderText">
    <w:name w:val="Placeholder Text"/>
    <w:basedOn w:val="DefaultParagraphFont"/>
    <w:uiPriority w:val="99"/>
    <w:semiHidden/>
    <w:rsid w:val="00453414"/>
    <w:rPr>
      <w:color w:val="808080"/>
    </w:rPr>
  </w:style>
  <w:style w:type="character" w:styleId="Hyperlink">
    <w:name w:val="Hyperlink"/>
    <w:basedOn w:val="DefaultParagraphFont"/>
    <w:uiPriority w:val="99"/>
    <w:unhideWhenUsed/>
    <w:rsid w:val="004609CF"/>
    <w:rPr>
      <w:color w:val="0563C1" w:themeColor="hyperlink"/>
      <w:u w:val="single"/>
    </w:rPr>
  </w:style>
  <w:style w:type="paragraph" w:styleId="NoSpacing">
    <w:name w:val="No Spacing"/>
    <w:uiPriority w:val="1"/>
    <w:qFormat/>
    <w:rsid w:val="00277C8B"/>
    <w:pPr>
      <w:spacing w:after="0" w:line="240" w:lineRule="auto"/>
    </w:pPr>
  </w:style>
  <w:style w:type="character" w:styleId="FollowedHyperlink">
    <w:name w:val="FollowedHyperlink"/>
    <w:basedOn w:val="DefaultParagraphFont"/>
    <w:uiPriority w:val="99"/>
    <w:semiHidden/>
    <w:unhideWhenUsed/>
    <w:rsid w:val="00C45EF9"/>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4D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D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D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DC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4DC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01530"/>
    <w:pPr>
      <w:ind w:left="720"/>
      <w:contextualSpacing/>
    </w:pPr>
  </w:style>
  <w:style w:type="character" w:customStyle="1" w:styleId="Heading2Char">
    <w:name w:val="Heading 2 Char"/>
    <w:basedOn w:val="DefaultParagraphFont"/>
    <w:link w:val="Heading2"/>
    <w:uiPriority w:val="9"/>
    <w:rsid w:val="00320D1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20D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F161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161B"/>
    <w:rPr>
      <w:rFonts w:ascii="Lucida Grande" w:hAnsi="Lucida Grande" w:cs="Lucida Grande"/>
      <w:sz w:val="18"/>
      <w:szCs w:val="18"/>
    </w:rPr>
  </w:style>
  <w:style w:type="paragraph" w:styleId="Header">
    <w:name w:val="header"/>
    <w:basedOn w:val="Normal"/>
    <w:link w:val="HeaderChar"/>
    <w:uiPriority w:val="99"/>
    <w:unhideWhenUsed/>
    <w:rsid w:val="00632B6B"/>
    <w:pPr>
      <w:tabs>
        <w:tab w:val="center" w:pos="4320"/>
        <w:tab w:val="right" w:pos="8640"/>
      </w:tabs>
      <w:spacing w:after="0" w:line="240" w:lineRule="auto"/>
    </w:pPr>
  </w:style>
  <w:style w:type="character" w:customStyle="1" w:styleId="HeaderChar">
    <w:name w:val="Header Char"/>
    <w:basedOn w:val="DefaultParagraphFont"/>
    <w:link w:val="Header"/>
    <w:uiPriority w:val="99"/>
    <w:rsid w:val="00632B6B"/>
  </w:style>
  <w:style w:type="paragraph" w:styleId="Footer">
    <w:name w:val="footer"/>
    <w:basedOn w:val="Normal"/>
    <w:link w:val="FooterChar"/>
    <w:uiPriority w:val="99"/>
    <w:unhideWhenUsed/>
    <w:rsid w:val="00632B6B"/>
    <w:pPr>
      <w:tabs>
        <w:tab w:val="center" w:pos="4320"/>
        <w:tab w:val="right" w:pos="8640"/>
      </w:tabs>
      <w:spacing w:after="0" w:line="240" w:lineRule="auto"/>
    </w:pPr>
  </w:style>
  <w:style w:type="character" w:customStyle="1" w:styleId="FooterChar">
    <w:name w:val="Footer Char"/>
    <w:basedOn w:val="DefaultParagraphFont"/>
    <w:link w:val="Footer"/>
    <w:uiPriority w:val="99"/>
    <w:rsid w:val="00632B6B"/>
  </w:style>
  <w:style w:type="character" w:styleId="PlaceholderText">
    <w:name w:val="Placeholder Text"/>
    <w:basedOn w:val="DefaultParagraphFont"/>
    <w:uiPriority w:val="99"/>
    <w:semiHidden/>
    <w:rsid w:val="00453414"/>
    <w:rPr>
      <w:color w:val="808080"/>
    </w:rPr>
  </w:style>
  <w:style w:type="character" w:styleId="Hyperlink">
    <w:name w:val="Hyperlink"/>
    <w:basedOn w:val="DefaultParagraphFont"/>
    <w:uiPriority w:val="99"/>
    <w:unhideWhenUsed/>
    <w:rsid w:val="004609CF"/>
    <w:rPr>
      <w:color w:val="0563C1" w:themeColor="hyperlink"/>
      <w:u w:val="single"/>
    </w:rPr>
  </w:style>
  <w:style w:type="paragraph" w:styleId="NoSpacing">
    <w:name w:val="No Spacing"/>
    <w:uiPriority w:val="1"/>
    <w:qFormat/>
    <w:rsid w:val="00277C8B"/>
    <w:pPr>
      <w:spacing w:after="0" w:line="240" w:lineRule="auto"/>
    </w:pPr>
  </w:style>
  <w:style w:type="character" w:styleId="FollowedHyperlink">
    <w:name w:val="FollowedHyperlink"/>
    <w:basedOn w:val="DefaultParagraphFont"/>
    <w:uiPriority w:val="99"/>
    <w:semiHidden/>
    <w:unhideWhenUsed/>
    <w:rsid w:val="00C45E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78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timeshighereducation.com/world-university-rankings/2016/world-ranking" TargetMode="Externa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hyperlink" Target="https://en.wikipedia.org/wiki/Times_Higher_Education_World_University_Rankings"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kaggle.com/mylesoneill/world-university-rank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945</TotalTime>
  <Pages>9</Pages>
  <Words>2718</Words>
  <Characters>15712</Characters>
  <Application>Microsoft Macintosh Word</Application>
  <DocSecurity>0</DocSecurity>
  <Lines>365</Lines>
  <Paragraphs>209</Paragraphs>
  <ScaleCrop>false</ScaleCrop>
  <HeadingPairs>
    <vt:vector size="2" baseType="variant">
      <vt:variant>
        <vt:lpstr>Title</vt:lpstr>
      </vt:variant>
      <vt:variant>
        <vt:i4>1</vt:i4>
      </vt:variant>
    </vt:vector>
  </HeadingPairs>
  <TitlesOfParts>
    <vt:vector size="1" baseType="lpstr">
      <vt:lpstr>World Rankings of Universities</vt:lpstr>
    </vt:vector>
  </TitlesOfParts>
  <Manager/>
  <Company/>
  <LinksUpToDate>false</LinksUpToDate>
  <CharactersWithSpaces>18221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Rankings for Universities</dc:title>
  <dc:subject>Experimental Statistics II</dc:subject>
  <dc:creator>James Tsai</dc:creator>
  <cp:keywords/>
  <dc:description/>
  <cp:lastModifiedBy>James Tsai</cp:lastModifiedBy>
  <cp:revision>85</cp:revision>
  <cp:lastPrinted>2016-03-29T02:48:00Z</cp:lastPrinted>
  <dcterms:created xsi:type="dcterms:W3CDTF">2016-02-16T02:35:00Z</dcterms:created>
  <dcterms:modified xsi:type="dcterms:W3CDTF">2016-03-29T02:56:00Z</dcterms:modified>
  <cp:category/>
</cp:coreProperties>
</file>