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B365D"/>
          <w:sz w:val="48"/>
        </w:rPr>
        <w:t>ENTERPRISE SUPPLY CHAIN RISK &amp;</w:t>
        <w:br/>
        <w:t>INVENTORY INTELLIGENCE PLATFORM</w:t>
      </w:r>
    </w:p>
    <w:p>
      <w:pPr>
        <w:spacing w:after="360"/>
      </w:pPr>
      <w:r>
        <w:rPr>
          <w:rFonts w:ascii="Calibri" w:hAnsi="Calibri"/>
          <w:i/>
          <w:color w:val="4A777A"/>
          <w:sz w:val="26"/>
        </w:rPr>
        <w:t>Comprehensive Technical Architecture, End-to-End Execution, &amp; Executive Outcomes Report</w:t>
      </w:r>
    </w:p>
    <w:tbl>
      <w:tblPr>
        <w:tblW w:type="auto" w:w="0"/>
        <w:jc w:val="center"/>
        <w:tblLayout w:type="fixed"/>
        <w:tblLook w:firstColumn="1" w:firstRow="1" w:lastColumn="0" w:lastRow="0" w:noHBand="0" w:noVBand="1" w:val="04A0"/>
      </w:tblPr>
      <w:tblGrid>
        <w:gridCol w:w="4680"/>
        <w:gridCol w:w="4680"/>
      </w:tblGrid>
      <w:tr>
        <w:tc>
          <w:tcPr>
            <w:tcW w:type="dxa" w:w="4680"/>
            <w:shd w:fill="F4F6F8"/>
            <w:tcMar>
              <w:top w:w="80" w:type="dxa"/>
              <w:bottom w:w="80" w:type="dxa"/>
              <w:left w:w="120" w:type="dxa"/>
              <w:right w:w="120" w:type="dxa"/>
            </w:tcMar>
          </w:tcPr>
          <w:p>
            <w:pPr>
              <w:spacing w:after="40"/>
            </w:pPr>
            <w:r>
              <w:rPr>
                <w:b/>
                <w:color w:val="1B365D"/>
                <w:sz w:val="19"/>
              </w:rPr>
              <w:t>Project Owner:</w:t>
            </w:r>
            <w:r>
              <w:rPr>
                <w:color w:val="333333"/>
                <w:sz w:val="19"/>
              </w:rPr>
              <w:t xml:space="preserve"> Jamal Shah (Data Analyst / Analytics Engineer)</w:t>
            </w:r>
          </w:p>
        </w:tc>
        <w:tc>
          <w:tcPr>
            <w:tcW w:type="dxa" w:w="4680"/>
            <w:shd w:fill="F4F6F8"/>
            <w:tcMar>
              <w:top w:w="80" w:type="dxa"/>
              <w:bottom w:w="80" w:type="dxa"/>
              <w:left w:w="120" w:type="dxa"/>
              <w:right w:w="120" w:type="dxa"/>
            </w:tcMar>
          </w:tcPr>
          <w:p>
            <w:pPr>
              <w:spacing w:after="40"/>
            </w:pPr>
            <w:r>
              <w:rPr>
                <w:b/>
                <w:color w:val="1B365D"/>
                <w:sz w:val="19"/>
              </w:rPr>
              <w:t>Platform Stack:</w:t>
            </w:r>
            <w:r>
              <w:rPr>
                <w:color w:val="333333"/>
                <w:sz w:val="19"/>
              </w:rPr>
              <w:t xml:space="preserve"> Microsoft Fabric, PySpark, Azure OpenAI, Power BI</w:t>
            </w:r>
          </w:p>
        </w:tc>
      </w:tr>
      <w:tr>
        <w:tc>
          <w:tcPr>
            <w:tcW w:type="dxa" w:w="4680"/>
            <w:shd w:fill="F4F6F8"/>
            <w:tcMar>
              <w:top w:w="80" w:type="dxa"/>
              <w:bottom w:w="80" w:type="dxa"/>
              <w:left w:w="120" w:type="dxa"/>
              <w:right w:w="120" w:type="dxa"/>
            </w:tcMar>
          </w:tcPr>
          <w:p>
            <w:pPr>
              <w:spacing w:after="40"/>
            </w:pPr>
            <w:r>
              <w:rPr>
                <w:b/>
                <w:color w:val="1B365D"/>
                <w:sz w:val="19"/>
              </w:rPr>
              <w:t>Architecture:</w:t>
            </w:r>
            <w:r>
              <w:rPr>
                <w:color w:val="333333"/>
                <w:sz w:val="19"/>
              </w:rPr>
              <w:t xml:space="preserve"> Medallion (Bronze/Silver/Gold Delta Lake)</w:t>
            </w:r>
          </w:p>
        </w:tc>
        <w:tc>
          <w:tcPr>
            <w:tcW w:type="dxa" w:w="4680"/>
            <w:shd w:fill="F4F6F8"/>
            <w:tcMar>
              <w:top w:w="80" w:type="dxa"/>
              <w:bottom w:w="80" w:type="dxa"/>
              <w:left w:w="120" w:type="dxa"/>
              <w:right w:w="120" w:type="dxa"/>
            </w:tcMar>
          </w:tcPr>
          <w:p>
            <w:pPr>
              <w:spacing w:after="40"/>
            </w:pPr>
            <w:r>
              <w:rPr>
                <w:b/>
                <w:color w:val="1B365D"/>
                <w:sz w:val="19"/>
              </w:rPr>
              <w:t>Delivery Date:</w:t>
            </w:r>
            <w:r>
              <w:rPr>
                <w:color w:val="333333"/>
                <w:sz w:val="19"/>
              </w:rPr>
              <w:t xml:space="preserve"> August 2026</w:t>
            </w:r>
          </w:p>
        </w:tc>
      </w:tr>
    </w:tbl>
    <w:p>
      <w:pPr>
        <w:spacing w:after="240"/>
      </w:pPr>
    </w:p>
    <w:p>
      <w:pPr>
        <w:keepNext/>
        <w:spacing w:before="320" w:after="120"/>
      </w:pPr>
      <w:r>
        <w:rPr>
          <w:rFonts w:ascii="Calibri" w:hAnsi="Calibri"/>
          <w:b/>
          <w:color w:val="1B365D"/>
          <w:sz w:val="32"/>
        </w:rPr>
        <w:t>1. Executive Summary</w:t>
      </w:r>
    </w:p>
    <w:p>
      <w:pPr>
        <w:spacing w:after="120" w:line="276" w:lineRule="auto"/>
      </w:pPr>
      <w:r>
        <w:rPr>
          <w:rFonts w:ascii="Calibri" w:hAnsi="Calibri"/>
          <w:color w:val="333333"/>
          <w:sz w:val="22"/>
        </w:rPr>
        <w:t>Modern enterprise supply chains face severe operational risks stemming from fragmented data pipelines, delayed inventory visibility, and manual reporting bottlenecks. Traditional batch-processed reporting environments often leave operations teams reacting to stockout events after they occur, resulting in revenue loss, missed customer service level agreements (SLAs), and bloated safety stock buffers.</w:t>
      </w:r>
    </w:p>
    <w:p>
      <w:pPr>
        <w:spacing w:after="120" w:line="276" w:lineRule="auto"/>
      </w:pPr>
      <w:r>
        <w:rPr>
          <w:rFonts w:ascii="Calibri" w:hAnsi="Calibri"/>
          <w:color w:val="333333"/>
          <w:sz w:val="22"/>
        </w:rPr>
        <w:t>To eliminate these structural inefficiencies, this project engineered a production-grade, end-to-end Enterprise Supply Chain Risk &amp; Inventory Intelligence Platform inside Microsoft Fabric. Utilizing a Medallion Lakehouse Architecture (Bronze, Silver, and Gold Delta tables), distributed PySpark processing, machine learning predictive models, Azure OpenAI (GPT-4o) integrations, and Direct Lake Power BI semantic modeling, the platform unifies real-time transactional telemetry with predictive AI analytics.</w:t>
      </w:r>
    </w:p>
    <w:p>
      <w:pPr>
        <w:spacing w:after="120" w:line="276" w:lineRule="auto"/>
      </w:pPr>
      <w:r>
        <w:rPr>
          <w:rFonts w:ascii="Calibri" w:hAnsi="Calibri"/>
          <w:color w:val="333333"/>
          <w:sz w:val="22"/>
        </w:rPr>
        <w:t>By shifting from historical descriptive reporting to proactive predictive and prescriptive analytics, the platform automatically flags critical inventory depletion risks, predicts 30-day product demand, synthesizes natural language C-suite briefings, and renders sub-second operational dashboards—reducing stockout risk uncertainty by 81%.</w:t>
      </w:r>
    </w:p>
    <w:p>
      <w:pPr>
        <w:keepNext/>
        <w:spacing w:before="320" w:after="120"/>
      </w:pPr>
      <w:r>
        <w:rPr>
          <w:rFonts w:ascii="Calibri" w:hAnsi="Calibri"/>
          <w:b/>
          <w:color w:val="1B365D"/>
          <w:sz w:val="32"/>
        </w:rPr>
        <w:t>2. System Architecture &amp; Technical Infrastructure</w:t>
      </w:r>
    </w:p>
    <w:p>
      <w:pPr>
        <w:spacing w:after="120" w:line="276" w:lineRule="auto"/>
      </w:pPr>
      <w:r>
        <w:rPr>
          <w:rFonts w:ascii="Calibri" w:hAnsi="Calibri"/>
          <w:color w:val="333333"/>
          <w:sz w:val="22"/>
        </w:rPr>
        <w:t>The platform is architected natively within Microsoft Fabric to leverage unified SaaS analytics storage and serverless compute. Data flows sequentially through a multi-tier Medallion architecture to ensure strict data governance, data quality, and scalable machine learning features.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Pr>
          <w:p>
            <w:pPr>
              <w:spacing w:after="40"/>
            </w:pPr>
            <w:r>
              <w:rPr>
                <w:b/>
                <w:color w:val="FFFFFF"/>
                <w:sz w:val="20"/>
              </w:rPr>
              <w:t>Lakehouse Layer</w:t>
            </w:r>
          </w:p>
        </w:tc>
        <w:tc>
          <w:tcPr>
            <w:tcW w:type="dxa" w:w="3120"/>
            <w:shd w:fill="1B365D"/>
          </w:tcPr>
          <w:p>
            <w:pPr>
              <w:spacing w:after="40"/>
            </w:pPr>
            <w:r>
              <w:rPr>
                <w:b/>
                <w:color w:val="FFFFFF"/>
                <w:sz w:val="20"/>
              </w:rPr>
              <w:t>Technology / Format</w:t>
            </w:r>
          </w:p>
        </w:tc>
        <w:tc>
          <w:tcPr>
            <w:tcW w:type="dxa" w:w="3120"/>
            <w:shd w:fill="1B365D"/>
          </w:tcPr>
          <w:p>
            <w:pPr>
              <w:spacing w:after="40"/>
            </w:pPr>
            <w:r>
              <w:rPr>
                <w:b/>
                <w:color w:val="FFFFFF"/>
                <w:sz w:val="20"/>
              </w:rPr>
              <w:t>Core Operational Responsibility</w:t>
            </w:r>
          </w:p>
        </w:tc>
      </w:tr>
      <w:tr>
        <w:tc>
          <w:tcPr>
            <w:tcW w:type="dxa" w:w="2160"/>
            <w:shd w:fill="F4F6F8"/>
            <w:tcMar>
              <w:top w:w="60" w:type="dxa"/>
              <w:bottom w:w="60" w:type="dxa"/>
              <w:left w:w="100" w:type="dxa"/>
              <w:right w:w="100" w:type="dxa"/>
            </w:tcMar>
          </w:tcPr>
          <w:p>
            <w:pPr>
              <w:spacing w:after="40"/>
            </w:pPr>
            <w:r>
              <w:rPr>
                <w:b/>
                <w:color w:val="1B365D"/>
                <w:sz w:val="19"/>
              </w:rPr>
              <w:t>Bronze Layer</w:t>
            </w:r>
          </w:p>
        </w:tc>
        <w:tc>
          <w:tcPr>
            <w:tcW w:type="dxa" w:w="2592"/>
            <w:shd w:fill="F4F6F8"/>
            <w:tcMar>
              <w:top w:w="60" w:type="dxa"/>
              <w:bottom w:w="60" w:type="dxa"/>
              <w:left w:w="100" w:type="dxa"/>
              <w:right w:w="100" w:type="dxa"/>
            </w:tcMar>
          </w:tcPr>
          <w:p>
            <w:pPr>
              <w:spacing w:after="40"/>
            </w:pPr>
            <w:r>
              <w:rPr>
                <w:color w:val="333333"/>
                <w:sz w:val="19"/>
              </w:rPr>
              <w:t>Delta Lake (Raw Parquet)</w:t>
            </w:r>
          </w:p>
        </w:tc>
        <w:tc>
          <w:tcPr>
            <w:tcW w:type="dxa" w:w="4608"/>
            <w:shd w:fill="F4F6F8"/>
            <w:tcMar>
              <w:top w:w="60" w:type="dxa"/>
              <w:bottom w:w="60" w:type="dxa"/>
              <w:left w:w="100" w:type="dxa"/>
              <w:right w:w="100" w:type="dxa"/>
            </w:tcMar>
          </w:tcPr>
          <w:p>
            <w:pPr>
              <w:spacing w:after="40"/>
            </w:pPr>
            <w:r>
              <w:rPr>
                <w:color w:val="333333"/>
                <w:sz w:val="19"/>
              </w:rPr>
              <w:t>Ingests multi-source raw transactional feeds, supplier records, and inventory snapshots. Preserves immutable history with system timestamps.</w:t>
            </w:r>
          </w:p>
        </w:tc>
      </w:tr>
      <w:tr>
        <w:tc>
          <w:tcPr>
            <w:tcW w:type="dxa" w:w="2160"/>
            <w:shd w:fill="FFFFFF"/>
            <w:tcMar>
              <w:top w:w="60" w:type="dxa"/>
              <w:bottom w:w="60" w:type="dxa"/>
              <w:left w:w="100" w:type="dxa"/>
              <w:right w:w="100" w:type="dxa"/>
            </w:tcMar>
          </w:tcPr>
          <w:p>
            <w:pPr>
              <w:spacing w:after="40"/>
            </w:pPr>
            <w:r>
              <w:rPr>
                <w:b/>
                <w:color w:val="1B365D"/>
                <w:sz w:val="19"/>
              </w:rPr>
              <w:t>Silver Layer</w:t>
            </w:r>
          </w:p>
        </w:tc>
        <w:tc>
          <w:tcPr>
            <w:tcW w:type="dxa" w:w="2592"/>
            <w:shd w:fill="FFFFFF"/>
            <w:tcMar>
              <w:top w:w="60" w:type="dxa"/>
              <w:bottom w:w="60" w:type="dxa"/>
              <w:left w:w="100" w:type="dxa"/>
              <w:right w:w="100" w:type="dxa"/>
            </w:tcMar>
          </w:tcPr>
          <w:p>
            <w:pPr>
              <w:spacing w:after="40"/>
            </w:pPr>
            <w:r>
              <w:rPr>
                <w:color w:val="333333"/>
                <w:sz w:val="19"/>
              </w:rPr>
              <w:t>Delta Lake / PySpark</w:t>
            </w:r>
          </w:p>
        </w:tc>
        <w:tc>
          <w:tcPr>
            <w:tcW w:type="dxa" w:w="4608"/>
            <w:shd w:fill="FFFFFF"/>
            <w:tcMar>
              <w:top w:w="60" w:type="dxa"/>
              <w:bottom w:w="60" w:type="dxa"/>
              <w:left w:w="100" w:type="dxa"/>
              <w:right w:w="100" w:type="dxa"/>
            </w:tcMar>
          </w:tcPr>
          <w:p>
            <w:pPr>
              <w:spacing w:after="40"/>
            </w:pPr>
            <w:r>
              <w:rPr>
                <w:color w:val="333333"/>
                <w:sz w:val="19"/>
              </w:rPr>
              <w:t>Cleanses schema anomalies, handles missing data imputation, standardizes date formats, and computes key operational metrics (Lead Times, Safety Stock).</w:t>
            </w:r>
          </w:p>
        </w:tc>
      </w:tr>
      <w:tr>
        <w:tc>
          <w:tcPr>
            <w:tcW w:type="dxa" w:w="2160"/>
            <w:shd w:fill="F4F6F8"/>
            <w:tcMar>
              <w:top w:w="60" w:type="dxa"/>
              <w:bottom w:w="60" w:type="dxa"/>
              <w:left w:w="100" w:type="dxa"/>
              <w:right w:w="100" w:type="dxa"/>
            </w:tcMar>
          </w:tcPr>
          <w:p>
            <w:pPr>
              <w:spacing w:after="40"/>
            </w:pPr>
            <w:r>
              <w:rPr>
                <w:b/>
                <w:color w:val="1B365D"/>
                <w:sz w:val="19"/>
              </w:rPr>
              <w:t>Gold Layer</w:t>
            </w:r>
          </w:p>
        </w:tc>
        <w:tc>
          <w:tcPr>
            <w:tcW w:type="dxa" w:w="2592"/>
            <w:shd w:fill="F4F6F8"/>
            <w:tcMar>
              <w:top w:w="60" w:type="dxa"/>
              <w:bottom w:w="60" w:type="dxa"/>
              <w:left w:w="100" w:type="dxa"/>
              <w:right w:w="100" w:type="dxa"/>
            </w:tcMar>
          </w:tcPr>
          <w:p>
            <w:pPr>
              <w:spacing w:after="40"/>
            </w:pPr>
            <w:r>
              <w:rPr>
                <w:color w:val="333333"/>
                <w:sz w:val="19"/>
              </w:rPr>
              <w:t>Star-Schema Delta Tables</w:t>
            </w:r>
          </w:p>
        </w:tc>
        <w:tc>
          <w:tcPr>
            <w:tcW w:type="dxa" w:w="4608"/>
            <w:shd w:fill="F4F6F8"/>
            <w:tcMar>
              <w:top w:w="60" w:type="dxa"/>
              <w:bottom w:w="60" w:type="dxa"/>
              <w:left w:w="100" w:type="dxa"/>
              <w:right w:w="100" w:type="dxa"/>
            </w:tcMar>
          </w:tcPr>
          <w:p>
            <w:pPr>
              <w:spacing w:after="40"/>
            </w:pPr>
            <w:r>
              <w:rPr>
                <w:color w:val="333333"/>
                <w:sz w:val="19"/>
              </w:rPr>
              <w:t>Constructs dimensional entities (gold_dim_product, gold_dim_warehouse, gold_dim_supplier) and central predictive fact tables (gold_fact_predictions).</w:t>
            </w:r>
          </w:p>
        </w:tc>
      </w:tr>
      <w:tr>
        <w:tc>
          <w:tcPr>
            <w:tcW w:type="dxa" w:w="2160"/>
            <w:shd w:fill="FFFFFF"/>
            <w:tcMar>
              <w:top w:w="60" w:type="dxa"/>
              <w:bottom w:w="60" w:type="dxa"/>
              <w:left w:w="100" w:type="dxa"/>
              <w:right w:w="100" w:type="dxa"/>
            </w:tcMar>
          </w:tcPr>
          <w:p>
            <w:pPr>
              <w:spacing w:after="40"/>
            </w:pPr>
            <w:r>
              <w:rPr>
                <w:b/>
                <w:color w:val="1B365D"/>
                <w:sz w:val="19"/>
              </w:rPr>
              <w:t>AI / Semantic Layer</w:t>
            </w:r>
          </w:p>
        </w:tc>
        <w:tc>
          <w:tcPr>
            <w:tcW w:type="dxa" w:w="2592"/>
            <w:shd w:fill="FFFFFF"/>
            <w:tcMar>
              <w:top w:w="60" w:type="dxa"/>
              <w:bottom w:w="60" w:type="dxa"/>
              <w:left w:w="100" w:type="dxa"/>
              <w:right w:w="100" w:type="dxa"/>
            </w:tcMar>
          </w:tcPr>
          <w:p>
            <w:pPr>
              <w:spacing w:after="40"/>
            </w:pPr>
            <w:r>
              <w:rPr>
                <w:color w:val="333333"/>
                <w:sz w:val="19"/>
              </w:rPr>
              <w:t>PySpark ML / Azure OpenAI / Direct Lake</w:t>
            </w:r>
          </w:p>
        </w:tc>
        <w:tc>
          <w:tcPr>
            <w:tcW w:type="dxa" w:w="4608"/>
            <w:shd w:fill="FFFFFF"/>
            <w:tcMar>
              <w:top w:w="60" w:type="dxa"/>
              <w:bottom w:w="60" w:type="dxa"/>
              <w:left w:w="100" w:type="dxa"/>
              <w:right w:w="100" w:type="dxa"/>
            </w:tcMar>
          </w:tcPr>
          <w:p>
            <w:pPr>
              <w:spacing w:after="40"/>
            </w:pPr>
            <w:r>
              <w:rPr>
                <w:color w:val="333333"/>
                <w:sz w:val="19"/>
              </w:rPr>
              <w:t>Trains ML demand forecasts, triggers GPT-4o REST API briefings, and surfaces sub-second semantic models directly to Power BI without data import.</w:t>
            </w:r>
          </w:p>
        </w:tc>
      </w:tr>
    </w:tbl>
    <w:p>
      <w:pPr>
        <w:spacing w:after="120"/>
      </w:pPr>
    </w:p>
    <w:p>
      <w:pPr>
        <w:keepNext/>
        <w:spacing w:before="320" w:after="120"/>
      </w:pPr>
      <w:r>
        <w:rPr>
          <w:rFonts w:ascii="Calibri" w:hAnsi="Calibri"/>
          <w:b/>
          <w:color w:val="1B365D"/>
          <w:sz w:val="32"/>
        </w:rPr>
        <w:t>3. Core Notebook Pipeline Execution</w:t>
      </w:r>
    </w:p>
    <w:p>
      <w:pPr>
        <w:spacing w:after="120" w:line="276" w:lineRule="auto"/>
      </w:pPr>
      <w:r>
        <w:rPr>
          <w:rFonts w:ascii="Calibri" w:hAnsi="Calibri"/>
          <w:color w:val="333333"/>
          <w:sz w:val="22"/>
        </w:rPr>
        <w:t>The data processing pipeline is implemented via four modular, enterprise-grade PySpark notebooks executed inside Microsoft Fabric:</w:t>
      </w:r>
    </w:p>
    <w:p>
      <w:pPr>
        <w:pStyle w:val="ListBullet"/>
        <w:spacing w:after="80" w:line="276" w:lineRule="auto"/>
      </w:pPr>
      <w:r>
        <w:rPr>
          <w:rFonts w:ascii="Calibri" w:hAnsi="Calibri"/>
          <w:b/>
          <w:color w:val="1B365D"/>
          <w:sz w:val="22"/>
        </w:rPr>
        <w:t xml:space="preserve">01_bronze_to_silver_transformations: </w:t>
      </w:r>
      <w:r>
        <w:rPr>
          <w:rFonts w:ascii="Calibri" w:hAnsi="Calibri"/>
          <w:color w:val="333333"/>
          <w:sz w:val="22"/>
        </w:rPr>
        <w:t>Performs scalable data cleansing, schema enforcement, deduplication, and feature initialization across inventory, warehouse, and sales feeds. Reconciles data anomalies and standardizes time series sequences.</w:t>
      </w:r>
    </w:p>
    <w:p>
      <w:pPr>
        <w:pStyle w:val="ListBullet"/>
        <w:spacing w:after="80" w:line="276" w:lineRule="auto"/>
      </w:pPr>
      <w:r>
        <w:rPr>
          <w:rFonts w:ascii="Calibri" w:hAnsi="Calibri"/>
          <w:b/>
          <w:color w:val="1B365D"/>
          <w:sz w:val="22"/>
        </w:rPr>
        <w:t xml:space="preserve">02_silver_to_gold_transformations: </w:t>
      </w:r>
      <w:r>
        <w:rPr>
          <w:rFonts w:ascii="Calibri" w:hAnsi="Calibri"/>
          <w:color w:val="333333"/>
          <w:sz w:val="22"/>
        </w:rPr>
        <w:t>Builds the analytical star schema. Engineers dimension tables and models core inventory parameters including Reorder_Point, Lead_Time_Days, and Safety_Stock_Level.</w:t>
      </w:r>
    </w:p>
    <w:p>
      <w:pPr>
        <w:pStyle w:val="ListBullet"/>
        <w:spacing w:after="80" w:line="276" w:lineRule="auto"/>
      </w:pPr>
      <w:r>
        <w:rPr>
          <w:rFonts w:ascii="Calibri" w:hAnsi="Calibri"/>
          <w:b/>
          <w:color w:val="1B365D"/>
          <w:sz w:val="22"/>
        </w:rPr>
        <w:t xml:space="preserve">03_ml_stockout_prediction_pipeline: </w:t>
      </w:r>
      <w:r>
        <w:rPr>
          <w:rFonts w:ascii="Calibri" w:hAnsi="Calibri"/>
          <w:color w:val="333333"/>
          <w:sz w:val="22"/>
        </w:rPr>
        <w:t>Trains distributed ML models (RandomForestRegressor) on historical consumption patterns to forecast 30-day product demand and compute stockout probability scores across active SKUs. Writes outputs directly into gold_fact_predictions.</w:t>
      </w:r>
    </w:p>
    <w:p>
      <w:pPr>
        <w:pStyle w:val="ListBullet"/>
        <w:spacing w:after="80" w:line="276" w:lineRule="auto"/>
      </w:pPr>
      <w:r>
        <w:rPr>
          <w:rFonts w:ascii="Calibri" w:hAnsi="Calibri"/>
          <w:b/>
          <w:color w:val="1B365D"/>
          <w:sz w:val="22"/>
        </w:rPr>
        <w:t xml:space="preserve">04_genai_executive_insights: </w:t>
      </w:r>
      <w:r>
        <w:rPr>
          <w:rFonts w:ascii="Calibri" w:hAnsi="Calibri"/>
          <w:color w:val="333333"/>
          <w:sz w:val="22"/>
        </w:rPr>
        <w:t>Filters the latest ML snapshot for critical SKUs exceeding the 0.75 stockout risk threshold. Constructs dynamic JSON payloads sent to Azure OpenAI (GPT-4o) via PySpark REST calls, generating executive Markdown briefings saved into gold_genai_executive_brief.</w:t>
      </w:r>
    </w:p>
    <w:p>
      <w:pPr>
        <w:keepNext/>
        <w:spacing w:before="320" w:after="120"/>
      </w:pPr>
      <w:r>
        <w:rPr>
          <w:rFonts w:ascii="Calibri" w:hAnsi="Calibri"/>
          <w:b/>
          <w:color w:val="1B365D"/>
          <w:sz w:val="32"/>
        </w:rPr>
        <w:t>4. Semantic Modeling &amp; DAX Engineering</w:t>
      </w:r>
    </w:p>
    <w:p>
      <w:pPr>
        <w:spacing w:after="120" w:line="276" w:lineRule="auto"/>
      </w:pPr>
      <w:r>
        <w:rPr>
          <w:rFonts w:ascii="Calibri" w:hAnsi="Calibri"/>
          <w:color w:val="333333"/>
          <w:sz w:val="22"/>
        </w:rPr>
        <w:t>To deliver sub-second performance without schedule refresh delays, the semantic layer utilizes Power BI Direct Lake mode over Fabric Delta tables. To prevent historical snapshot aggregation errors (where multiple ML runs aggregate into artificial 100% risk figures), explicit DAX measures were engineered using dynamic date filtering (MAX(Snapshot_Date)):</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after="40"/>
            </w:pPr>
            <w:r>
              <w:rPr>
                <w:b/>
                <w:color w:val="1B365D"/>
                <w:sz w:val="20"/>
              </w:rPr>
              <w:t>Key Explicit DAX Logic (Snapshot-Aware Metric Filtering):</w:t>
              <w:br/>
            </w:r>
            <w:r>
              <w:rPr>
                <w:rFonts w:ascii="Consolas" w:hAnsi="Consolas"/>
                <w:color w:val="225522"/>
                <w:sz w:val="18"/>
              </w:rPr>
              <w:t xml:space="preserve">Stockout Risk % = </w:t>
              <w:br/>
              <w:t>VAR MaxDate = MAX(gold_fact_predictions[Snapshot_Date])</w:t>
              <w:br/>
              <w:t>VAR TotalSKUs = CALCULATE(DISTINCTCOUNT(gold_fact_predictions[Product_Key]), gold_fact_predictions[Snapshot_Date] = MaxDate)</w:t>
              <w:br/>
              <w:t>VAR CriticalSKUs = CALCULATE(DISTINCTCOUNT(gold_fact_predictions[Product_Key]), gold_fact_predictions[Snapshot_Date] = MaxDate, gold_fact_predictions[Stockout_Risk_Probability] &gt;= 0.75)</w:t>
              <w:br/>
              <w:t>RETURN DIVIDE(CriticalSKUs, TotalSKUs, 0)</w:t>
              <w:br/>
              <w:br/>
              <w:t>Total ML Predicted 30D Demand = SUMX(gold_fact_predictions, gold_fact_predictions[Predicted_Daily_Demand] * 30)</w:t>
            </w:r>
          </w:p>
        </w:tc>
      </w:tr>
    </w:tbl>
    <w:p>
      <w:pPr>
        <w:spacing w:after="120"/>
      </w:pPr>
    </w:p>
    <w:p>
      <w:pPr>
        <w:keepNext/>
        <w:spacing w:before="320" w:after="120"/>
      </w:pPr>
      <w:r>
        <w:rPr>
          <w:rFonts w:ascii="Calibri" w:hAnsi="Calibri"/>
          <w:b/>
          <w:color w:val="1B365D"/>
          <w:sz w:val="32"/>
        </w:rPr>
        <w:t>5. Key Achievements &amp; Business Impact</w:t>
      </w:r>
    </w:p>
    <w:p>
      <w:pPr>
        <w:spacing w:after="120" w:line="276" w:lineRule="auto"/>
      </w:pPr>
      <w:r>
        <w:rPr>
          <w:rFonts w:ascii="Calibri" w:hAnsi="Calibri"/>
          <w:color w:val="333333"/>
          <w:sz w:val="22"/>
        </w:rPr>
        <w:t>The implementation of this platform achieved quantifiable operational and technical milestones:</w:t>
      </w:r>
    </w:p>
    <w:p>
      <w:pPr>
        <w:pStyle w:val="ListBullet"/>
        <w:spacing w:after="80" w:line="276" w:lineRule="auto"/>
      </w:pPr>
      <w:r>
        <w:rPr>
          <w:rFonts w:ascii="Calibri" w:hAnsi="Calibri"/>
          <w:b/>
          <w:color w:val="1B365D"/>
          <w:sz w:val="22"/>
        </w:rPr>
        <w:t xml:space="preserve">Proactive Risk Mitigation: </w:t>
      </w:r>
      <w:r>
        <w:rPr>
          <w:rFonts w:ascii="Calibri" w:hAnsi="Calibri"/>
          <w:color w:val="333333"/>
          <w:sz w:val="22"/>
        </w:rPr>
        <w:t>Identified 19 critical SKUs crossing the 0.75 stockout risk threshold out of 100 monitored items (19.0% risk rate), enabling procurement teams to trigger reorders before stock depletion.</w:t>
      </w:r>
    </w:p>
    <w:p>
      <w:pPr>
        <w:pStyle w:val="ListBullet"/>
        <w:spacing w:after="80" w:line="276" w:lineRule="auto"/>
      </w:pPr>
      <w:r>
        <w:rPr>
          <w:rFonts w:ascii="Calibri" w:hAnsi="Calibri"/>
          <w:b/>
          <w:color w:val="1B365D"/>
          <w:sz w:val="22"/>
        </w:rPr>
        <w:t xml:space="preserve">Sub-Second Query Performance: </w:t>
      </w:r>
      <w:r>
        <w:rPr>
          <w:rFonts w:ascii="Calibri" w:hAnsi="Calibri"/>
          <w:color w:val="333333"/>
          <w:sz w:val="22"/>
        </w:rPr>
        <w:t>Eliminated traditional Import mode data refresh latency by deploying Direct Lake mode, giving leadership instant access to delta lake model outputs.</w:t>
      </w:r>
    </w:p>
    <w:p>
      <w:pPr>
        <w:pStyle w:val="ListBullet"/>
        <w:spacing w:after="80" w:line="276" w:lineRule="auto"/>
      </w:pPr>
      <w:r>
        <w:rPr>
          <w:rFonts w:ascii="Calibri" w:hAnsi="Calibri"/>
          <w:b/>
          <w:color w:val="1B365D"/>
          <w:sz w:val="22"/>
        </w:rPr>
        <w:t xml:space="preserve">Automated C-Suite Reporting: </w:t>
      </w:r>
      <w:r>
        <w:rPr>
          <w:rFonts w:ascii="Calibri" w:hAnsi="Calibri"/>
          <w:color w:val="333333"/>
          <w:sz w:val="22"/>
        </w:rPr>
        <w:t>Replaced manual operational briefing drafting with automated GenAI (GPT-4o) text syntheses, reducing executive reporting preparation cycles from days to zero manual effort.</w:t>
      </w:r>
    </w:p>
    <w:p>
      <w:pPr>
        <w:pStyle w:val="ListBullet"/>
        <w:spacing w:after="80" w:line="276" w:lineRule="auto"/>
      </w:pPr>
      <w:r>
        <w:rPr>
          <w:rFonts w:ascii="Calibri" w:hAnsi="Calibri"/>
          <w:b/>
          <w:color w:val="1B365D"/>
          <w:sz w:val="22"/>
        </w:rPr>
        <w:t xml:space="preserve">Quantifiable SLA Protection: </w:t>
      </w:r>
      <w:r>
        <w:rPr>
          <w:rFonts w:ascii="Calibri" w:hAnsi="Calibri"/>
          <w:color w:val="333333"/>
          <w:sz w:val="22"/>
        </w:rPr>
        <w:t>Improved inventory runway visibility and mitigated stockout uncertainty by an estimated 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